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9" w:rsidRDefault="007E1349">
      <w:bookmarkStart w:id="0" w:name="_GoBack"/>
      <w:bookmarkEnd w:id="0"/>
    </w:p>
    <w:p w:rsidR="00E07BA6" w:rsidRPr="00F50B8E" w:rsidRDefault="00E07BA6" w:rsidP="00E07BA6">
      <w:pPr>
        <w:pStyle w:val="Heading1"/>
        <w:spacing w:before="87" w:line="364" w:lineRule="auto"/>
        <w:ind w:left="0" w:right="95"/>
        <w:jc w:val="center"/>
      </w:pPr>
      <w:r>
        <w:br/>
      </w:r>
      <w:r>
        <w:br/>
      </w:r>
      <w:r>
        <w:br/>
      </w:r>
      <w:r>
        <w:br/>
      </w:r>
      <w:r w:rsidRPr="00F50B8E">
        <w:t xml:space="preserve">THE OPEN GOVERNMENT PARTNERSHIP </w:t>
      </w:r>
    </w:p>
    <w:p w:rsidR="00E07BA6" w:rsidRPr="00F50B8E" w:rsidRDefault="00E07BA6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 w:rsidRPr="00F50B8E">
        <w:rPr>
          <w:rFonts w:ascii="Times New Roman" w:hAnsi="Times New Roman" w:cs="Times New Roman"/>
          <w:b/>
          <w:sz w:val="32"/>
        </w:rPr>
        <w:t xml:space="preserve">NATIONAL ACTION PLAN FOR ALBANIA </w:t>
      </w:r>
    </w:p>
    <w:p w:rsidR="00E07BA6" w:rsidRPr="00F50B8E" w:rsidRDefault="00E07BA6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 w:rsidRPr="00F50B8E">
        <w:rPr>
          <w:rFonts w:ascii="Times New Roman" w:hAnsi="Times New Roman" w:cs="Times New Roman"/>
          <w:b/>
          <w:sz w:val="32"/>
        </w:rPr>
        <w:t>2020 – 2022</w:t>
      </w:r>
    </w:p>
    <w:p w:rsidR="00E07BA6" w:rsidRPr="00F50B8E" w:rsidRDefault="00F50B8E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CONSULTATION SUMMARY 2</w:t>
      </w:r>
    </w:p>
    <w:p w:rsidR="00E07BA6" w:rsidRPr="00F50B8E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spacing w:before="2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18C4524" wp14:editId="6D454E7E">
            <wp:simplePos x="0" y="0"/>
            <wp:positionH relativeFrom="page">
              <wp:posOffset>3088639</wp:posOffset>
            </wp:positionH>
            <wp:positionV relativeFrom="paragraph">
              <wp:posOffset>128525</wp:posOffset>
            </wp:positionV>
            <wp:extent cx="1690848" cy="1504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4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349" w:rsidRDefault="007E1349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tbl>
      <w:tblPr>
        <w:tblStyle w:val="TableGrid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2"/>
        <w:gridCol w:w="850"/>
        <w:gridCol w:w="82"/>
        <w:gridCol w:w="154"/>
        <w:gridCol w:w="848"/>
        <w:gridCol w:w="1270"/>
        <w:gridCol w:w="151"/>
        <w:gridCol w:w="145"/>
        <w:gridCol w:w="1570"/>
        <w:gridCol w:w="135"/>
        <w:gridCol w:w="711"/>
        <w:gridCol w:w="321"/>
        <w:gridCol w:w="1513"/>
        <w:gridCol w:w="47"/>
        <w:gridCol w:w="694"/>
        <w:gridCol w:w="394"/>
        <w:gridCol w:w="46"/>
        <w:gridCol w:w="2363"/>
        <w:gridCol w:w="14"/>
        <w:gridCol w:w="32"/>
      </w:tblGrid>
      <w:tr w:rsidR="00AB4D6E" w:rsidTr="00246DD3">
        <w:trPr>
          <w:gridAfter w:val="1"/>
          <w:wAfter w:w="32" w:type="dxa"/>
        </w:trPr>
        <w:tc>
          <w:tcPr>
            <w:tcW w:w="11450" w:type="dxa"/>
            <w:gridSpan w:val="19"/>
            <w:shd w:val="clear" w:color="auto" w:fill="1F497D" w:themeFill="text2"/>
          </w:tcPr>
          <w:p w:rsidR="00AB4D6E" w:rsidRPr="00EB5A1A" w:rsidRDefault="00F50B8E" w:rsidP="007E1349">
            <w:pPr>
              <w:spacing w:before="60" w:after="60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8"/>
                <w:lang w:eastAsia="es-ES_tradnl"/>
              </w:rPr>
            </w:pPr>
            <w:r>
              <w:rPr>
                <w:rFonts w:asciiTheme="majorHAnsi" w:eastAsia="Arial" w:hAnsiTheme="majorHAnsi"/>
                <w:b/>
                <w:color w:val="FFFFFF" w:themeColor="background1"/>
                <w:sz w:val="36"/>
                <w:szCs w:val="28"/>
                <w:lang w:eastAsia="es-ES_tradnl"/>
              </w:rPr>
              <w:lastRenderedPageBreak/>
              <w:t>CONSULTATION 2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shd w:val="clear" w:color="auto" w:fill="A6A6A6" w:themeFill="background1" w:themeFillShade="A6"/>
          </w:tcPr>
          <w:p w:rsidR="00AB4D6E" w:rsidRPr="00F50B8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Consultation Details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Policy Goal Focus</w:t>
            </w:r>
          </w:p>
        </w:tc>
        <w:tc>
          <w:tcPr>
            <w:tcW w:w="5071" w:type="dxa"/>
            <w:gridSpan w:val="7"/>
          </w:tcPr>
          <w:p w:rsidR="00AB4D6E" w:rsidRPr="00F50B8E" w:rsidRDefault="00F50B8E" w:rsidP="00F5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Open government for the fight against corruption/ Integrity Plans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Lead Focal Point Institution </w:t>
            </w:r>
          </w:p>
        </w:tc>
        <w:tc>
          <w:tcPr>
            <w:tcW w:w="5071" w:type="dxa"/>
            <w:gridSpan w:val="7"/>
          </w:tcPr>
          <w:p w:rsidR="00AB4D6E" w:rsidRDefault="00F50B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Znj. Rovena </w:t>
            </w:r>
            <w:r w:rsidRPr="00250D54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Pregja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/ znj.  Jona </w:t>
            </w:r>
            <w:r w:rsidRPr="00250D54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Karapinjalli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Ministria e Drejtësisë</w:t>
            </w:r>
          </w:p>
          <w:p w:rsidR="006D711A" w:rsidRPr="00F50B8E" w:rsidRDefault="00C22E25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5D4494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Sektori i Programeve në fushën e Antikorrupsionit, Drejtoria e Programeve dhe Projekteve në fushën e Antikorrupsionit,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Ministria e Drejtësisë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Date</w:t>
            </w:r>
          </w:p>
        </w:tc>
        <w:tc>
          <w:tcPr>
            <w:tcW w:w="5071" w:type="dxa"/>
            <w:gridSpan w:val="7"/>
          </w:tcPr>
          <w:p w:rsidR="00AB4D6E" w:rsidRPr="00F50B8E" w:rsidRDefault="00F50B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29/09/2020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Consultation Meeting Number</w:t>
            </w:r>
          </w:p>
        </w:tc>
        <w:tc>
          <w:tcPr>
            <w:tcW w:w="5071" w:type="dxa"/>
            <w:gridSpan w:val="7"/>
          </w:tcPr>
          <w:p w:rsidR="00AB4D6E" w:rsidRPr="00F50B8E" w:rsidRDefault="00F50B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2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shd w:val="clear" w:color="auto" w:fill="A6A6A6" w:themeFill="background1" w:themeFillShade="A6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left="176"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Objective of Consultation Meeting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  <w:shd w:val="clear" w:color="auto" w:fill="D9D9D9" w:themeFill="background1" w:themeFillShade="D9"/>
          </w:tcPr>
          <w:p w:rsidR="00AB4D6E" w:rsidRPr="00F50B8E" w:rsidRDefault="00890A45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hat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as the aim of this consultation? 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Please ans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er for all that apply</w:t>
            </w:r>
          </w:p>
        </w:tc>
        <w:tc>
          <w:tcPr>
            <w:tcW w:w="5071" w:type="dxa"/>
            <w:gridSpan w:val="7"/>
            <w:shd w:val="clear" w:color="auto" w:fill="D9D9D9" w:themeFill="background1" w:themeFillShade="D9"/>
          </w:tcPr>
          <w:p w:rsidR="00AB4D6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Details</w:t>
            </w:r>
            <w:r w:rsid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:</w:t>
            </w:r>
          </w:p>
          <w:p w:rsidR="00F50B8E" w:rsidRPr="00F50B8E" w:rsidRDefault="00F50B8E" w:rsidP="00F50B8E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Qëllimi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</w:t>
            </w:r>
            <w:r w:rsidR="004D341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ëtij t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akimi të Dyt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ultativ ishte prezantimi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draft planit të veprimit të OGP pë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r komponentin e 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Antikorrupsionit/Objektivi specifik: Planet e Integritetit,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rishikuar sipas komenteve dhe propozimeve </w:t>
            </w:r>
            <w:proofErr w:type="gramStart"/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konkrete 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të</w:t>
            </w:r>
            <w:proofErr w:type="gramEnd"/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përftuara nga ana e shoqërisë civile nëpë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rmjet Takimit të Parë Konsultativ, i mbajtur më dt. 25/09/2020, Online sipas Plaformës 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ebex.  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Gjithashtu, synimi </w:t>
            </w:r>
            <w:proofErr w:type="gramStart"/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kryesor  i</w:t>
            </w:r>
            <w:proofErr w:type="gramEnd"/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këtij takimi është të garantojë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në vijimësi 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përfshirjen e grupeve të interesit, organizatave të shoqërisë civile, botës akademike dhe çdo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interesuari në hartimin dhe konsolidimin e komponentëve të planit kombëtar të OGP, me qëllim marrjen e komenteve dhe propozimeve konkrete lidhur me përftimin e masave dhe aktiviteteve të reja në funksion të këtij objektivi si dhe në monitorimin e zbatueshmërisë së këtij të fundit.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Introduce stakeholders to the proposed policy goal </w:t>
            </w:r>
          </w:p>
        </w:tc>
        <w:tc>
          <w:tcPr>
            <w:tcW w:w="5071" w:type="dxa"/>
            <w:gridSpan w:val="7"/>
          </w:tcPr>
          <w:p w:rsidR="00B927E2" w:rsidRPr="008B0B49" w:rsidRDefault="00890A45" w:rsidP="00B927E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5824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E2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B927E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2085911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E2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B927E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AB4D6E" w:rsidRPr="00F50B8E" w:rsidRDefault="00B927E2" w:rsidP="00B927E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Qëllimi strategjik i këtij plani veprimi synon të garantojë “</w:t>
            </w:r>
            <w:r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Qever</w:t>
            </w:r>
            <w:r w:rsidR="00E97C7C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isjen e Hapur në luftën kundër K</w:t>
            </w:r>
            <w:r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orrupsionit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” i parë si një pikëtakim bashkëpunue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 midis instit</w:t>
            </w:r>
            <w:r w:rsidR="008A100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ucioneve, shoqërisë civile dhe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botës akademike.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Plani i Integritetit është mirëmenduar si një mekanizëm që ka për qëllim  ta bëjë më  të efekshme luftën kundër korrupsiont dhe të garantojë forcimin e kuadrit të transparencës institucionale, forcimin e etikës dhe integritetit të  nëpunësit civil dhe zyrtarëve të lartë publik nëpërmjet parimeve të gjithëpërfshirjes së aktorëve të interesuar.  Drafti i Planit të Veprimit për komponentin e Antikorrupsionit/Planet e Integritetit në zbatim të kalendarit të punës është konsultuar</w:t>
            </w:r>
            <w:r w:rsidR="004D341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me aktorët e interesuar në t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akimin e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br/>
              <w:t xml:space="preserve">Parë Konsultativ. 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Të gjitha komentet dhe propozimet e marra në këtë fazë të konsultimit janë reflekt</w:t>
            </w:r>
            <w:r w:rsidR="004D341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uar në draftin e prezantuar në t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akimin e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dytë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Konsultativ, i mbajtur më dt. 29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/09/2020.  Palët e interesuara në këtë takim kanë ofruar kontributet e 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 xml:space="preserve">tyre respektive lidhur me përditësimin e </w:t>
            </w:r>
            <w:proofErr w:type="gramStart"/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masave  dhe</w:t>
            </w:r>
            <w:proofErr w:type="gramEnd"/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të aktiviteteve, adresimin e propblematikave të ndryshme në fushën e korrupsionit në vend, kanë identifikuar çëshjet kryesore që lidhen me Anti-Korrupsionin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 dhe kanë ofruar zgjidhjet dhe idetë paraprake për të suportuar luftën kundër korrupsionit.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>Introduce stakeholders to the OGP process</w:t>
            </w:r>
          </w:p>
        </w:tc>
        <w:tc>
          <w:tcPr>
            <w:tcW w:w="5071" w:type="dxa"/>
            <w:gridSpan w:val="7"/>
          </w:tcPr>
          <w:p w:rsidR="000B3142" w:rsidRPr="008B0B49" w:rsidRDefault="00890A45" w:rsidP="000B31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2821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495801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Yes </w:t>
            </w:r>
          </w:p>
          <w:p w:rsidR="00AB4D6E" w:rsidRDefault="004D3417" w:rsidP="00C22E2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Në t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akimin e dyt</w:t>
            </w:r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 Konsultativ janë ftuar rreth 50 përfaqësues të Organizatave të Shoqërisë Civile, Botës akademi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ke</w:t>
            </w:r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dh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e aktorë të tjerë të </w:t>
            </w:r>
            <w:r w:rsidR="00E97C7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interesuar.</w:t>
            </w:r>
          </w:p>
          <w:p w:rsidR="006D711A" w:rsidRPr="00C22E25" w:rsidRDefault="006D711A" w:rsidP="00C22E2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Të pranishmëve iu bë një prezantim mbi OGP, i </w:t>
            </w:r>
            <w:r w:rsidRPr="00C22E2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cili ishte njoftuar edhe më parë. </w:t>
            </w:r>
          </w:p>
          <w:p w:rsidR="00C22E25" w:rsidRPr="00F50B8E" w:rsidRDefault="00C22E25" w:rsidP="00C22E2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C22E2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C22E2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pranishm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C22E2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ve iu dha mundësia të ofrojnë opinionet dhe sugjerimet e tyre online mbi procesin e rishikimit të masave dhe aktiviteteve respektive të planit të veprimit të OGP 2020-2022. Gjithashtu pjesëmarrësve iu dha mundësia t’i dërgojnë komentet e tyre në rrugë elektronike lidhur me planit e veprimit të OGP 2020-2022 si dhe për Matricën e Prioritizimit.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Explain the feedback tools for stakeholders</w:t>
            </w:r>
          </w:p>
        </w:tc>
        <w:tc>
          <w:tcPr>
            <w:tcW w:w="5071" w:type="dxa"/>
            <w:gridSpan w:val="7"/>
          </w:tcPr>
          <w:p w:rsidR="000B3142" w:rsidRPr="008B0B49" w:rsidRDefault="00890A45" w:rsidP="000B31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792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753425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0B3142" w:rsidRDefault="004D3417" w:rsidP="00E97C7C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Në t</w:t>
            </w:r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akimin e 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dytë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Konsultativ, i</w:t>
            </w:r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mbajtur Online nëpërmjet platformës 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ebex, Znj. Pregja realizoi një prezantim </w:t>
            </w:r>
            <w:r w:rsidR="008A100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ë </w:t>
            </w:r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procesit të 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rishikimit të draft Planit të Veprimit të </w:t>
            </w:r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OGP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për komponentin e antikorrupsionit 2020-2022 si dhe ndau me aktorët e interesuar dokumenti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e Matricës së Prioritizimit, i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rishikuar.</w:t>
            </w:r>
            <w:r w:rsidR="000B3142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</w:p>
          <w:p w:rsidR="00AB4D6E" w:rsidRDefault="000B3142" w:rsidP="004D3417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Pjesëmarrësit në Takimin e Dytë Konsulta</w:t>
            </w:r>
            <w:r w:rsidR="004D341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ti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v prezantuan idetë e tyre verbalisht online, </w:t>
            </w:r>
            <w:proofErr w:type="gramStart"/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ofruan  propozime</w:t>
            </w:r>
            <w:proofErr w:type="gramEnd"/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konkrete në kuadër të qeverisjes së hapur si dhe  adresuan shqetësime reale në luftën kundër korrupsionit. Ata, gjithashtu u ofruan të sjellin komente dhe sugjerime mbi përditësimin e masave dhe aktiviteteve të PV të OGP/Planet e Integritetit si dhe ide t</w:t>
            </w:r>
            <w:r w:rsidR="00AE576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ë tjera në këtë aspekt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në rrugë elektronike- via e-mail.</w:t>
            </w:r>
          </w:p>
          <w:p w:rsidR="00C22E25" w:rsidRPr="00F50B8E" w:rsidRDefault="00C22E25" w:rsidP="004D3417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Brainstorm ideas 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ith stakeholders</w:t>
            </w:r>
          </w:p>
        </w:tc>
        <w:tc>
          <w:tcPr>
            <w:tcW w:w="5071" w:type="dxa"/>
            <w:gridSpan w:val="7"/>
          </w:tcPr>
          <w:p w:rsidR="000B3142" w:rsidRDefault="00890A45" w:rsidP="000B31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6184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0B3142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984903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0B3142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Yes</w:t>
            </w:r>
          </w:p>
          <w:p w:rsidR="00AB4D6E" w:rsidRPr="00F50B8E" w:rsidRDefault="000B3142" w:rsidP="00E97C7C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sz w:val="24"/>
                <w:szCs w:val="24"/>
              </w:rPr>
              <w:t>Në kuadër të Takimit të Dytë Konsultativ pjesëmarrësve iu dha mundësia të adresojnë  përtej komenteve specifike mbi masat dhe aktivitetet e Planit të Veprimit të OGP 2020-2022,  problematika konkrete dhe zgjidhje reale në fushën e antikorrupsionit.</w:t>
            </w:r>
          </w:p>
        </w:tc>
      </w:tr>
      <w:tr w:rsidR="000B3142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0B3142" w:rsidRPr="00F50B8E" w:rsidRDefault="000B3142" w:rsidP="000B3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Develop further details (milestones, etc.) for ideas</w:t>
            </w:r>
          </w:p>
        </w:tc>
        <w:tc>
          <w:tcPr>
            <w:tcW w:w="5071" w:type="dxa"/>
            <w:gridSpan w:val="7"/>
          </w:tcPr>
          <w:p w:rsidR="000B3142" w:rsidRPr="008A29A2" w:rsidRDefault="00890A45" w:rsidP="000B31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14547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1A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0B3142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0B3142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2735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0B3142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6D711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 </w:t>
            </w:r>
            <w:r w:rsidR="006D711A" w:rsidRPr="006D711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N/A</w:t>
            </w:r>
          </w:p>
        </w:tc>
      </w:tr>
      <w:tr w:rsidR="000B3142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0B3142" w:rsidRPr="00F50B8E" w:rsidRDefault="000B3142" w:rsidP="000B3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60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Gather feedback on proposed policy goals</w:t>
            </w:r>
          </w:p>
        </w:tc>
        <w:tc>
          <w:tcPr>
            <w:tcW w:w="5071" w:type="dxa"/>
            <w:gridSpan w:val="7"/>
          </w:tcPr>
          <w:p w:rsidR="000B3142" w:rsidRPr="008A29A2" w:rsidRDefault="00890A45" w:rsidP="000B31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-7789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1A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0B3142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0B3142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05643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0B3142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6D711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  N/A</w:t>
            </w:r>
          </w:p>
        </w:tc>
      </w:tr>
      <w:tr w:rsidR="000B3142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0B3142" w:rsidRPr="00F50B8E" w:rsidRDefault="000B3142" w:rsidP="000B3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60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Prioritize proposed policy goals</w:t>
            </w:r>
          </w:p>
        </w:tc>
        <w:tc>
          <w:tcPr>
            <w:tcW w:w="5071" w:type="dxa"/>
            <w:gridSpan w:val="7"/>
          </w:tcPr>
          <w:p w:rsidR="000B3142" w:rsidRPr="008A29A2" w:rsidRDefault="00890A45" w:rsidP="000B31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1052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1A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0B3142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0B3142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60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0B3142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6D711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  N/A</w:t>
            </w:r>
          </w:p>
        </w:tc>
      </w:tr>
      <w:tr w:rsidR="000B3142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0B3142" w:rsidRPr="00F50B8E" w:rsidRDefault="000B3142" w:rsidP="000B3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Other (provide details)</w:t>
            </w:r>
          </w:p>
        </w:tc>
        <w:tc>
          <w:tcPr>
            <w:tcW w:w="5071" w:type="dxa"/>
            <w:gridSpan w:val="7"/>
          </w:tcPr>
          <w:p w:rsidR="000B3142" w:rsidRPr="008A29A2" w:rsidRDefault="00890A45" w:rsidP="000B31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-19383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1A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0B3142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0B3142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8157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42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0B3142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6D711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   N/A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shd w:val="clear" w:color="auto" w:fill="A6A6A6" w:themeFill="background1" w:themeFillShade="A6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left="318" w:hanging="107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Methodology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  <w:shd w:val="clear" w:color="auto" w:fill="D9D9D9" w:themeFill="background1" w:themeFillShade="D9"/>
          </w:tcPr>
          <w:p w:rsidR="00AB4D6E" w:rsidRPr="00F50B8E" w:rsidRDefault="00890A45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lastRenderedPageBreak/>
              <w:t>Ë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hat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as the format of the meeting? 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Ho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ere stakeholders able to participate?</w:t>
            </w:r>
          </w:p>
        </w:tc>
        <w:tc>
          <w:tcPr>
            <w:tcW w:w="5071" w:type="dxa"/>
            <w:gridSpan w:val="7"/>
            <w:shd w:val="clear" w:color="auto" w:fill="D9D9D9" w:themeFill="background1" w:themeFillShade="D9"/>
          </w:tcPr>
          <w:p w:rsidR="00AB4D6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Details</w:t>
            </w:r>
            <w:r w:rsidR="000B3142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:</w:t>
            </w:r>
          </w:p>
          <w:p w:rsidR="000B3142" w:rsidRPr="00F50B8E" w:rsidRDefault="00214660" w:rsidP="004D3417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Takimi i Dyt</w:t>
            </w:r>
            <w:r w:rsidR="000B31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 Konsultativ u organizua Online për shkak të pandemisë Covid 19. Natyra e takimit ishte e hapur dhe interaktive.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Presentations</w:t>
            </w:r>
          </w:p>
        </w:tc>
        <w:tc>
          <w:tcPr>
            <w:tcW w:w="5071" w:type="dxa"/>
            <w:gridSpan w:val="7"/>
          </w:tcPr>
          <w:p w:rsidR="00214660" w:rsidRPr="008A29A2" w:rsidRDefault="00890A45" w:rsidP="00214660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Theme="majorHAnsi" w:eastAsia="Arial" w:hAnsiTheme="majorHAnsi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71314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60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214660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asciiTheme="majorHAnsi" w:eastAsia="Arial" w:hAnsiTheme="majorHAnsi"/>
                  <w:color w:val="000000" w:themeColor="text1"/>
                  <w:sz w:val="24"/>
                  <w:szCs w:val="24"/>
                  <w:lang w:eastAsia="es-ES_tradnl"/>
                </w:rPr>
                <w:id w:val="1123893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60" w:rsidRPr="008A29A2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214660" w:rsidRPr="008A29A2">
              <w:rPr>
                <w:rFonts w:asciiTheme="majorHAnsi" w:eastAsia="Arial" w:hAnsiTheme="majorHAnsi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214660" w:rsidRPr="008B0B49" w:rsidRDefault="00214660" w:rsidP="002146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Prezantimi i procesit të OGP dhe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komponentëve përbërës të Planit të </w:t>
            </w:r>
            <w:proofErr w:type="gramStart"/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Veprimit  për</w:t>
            </w:r>
            <w:proofErr w:type="gramEnd"/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Qeverisjen e Hapur 2020-2022.</w:t>
            </w:r>
          </w:p>
          <w:p w:rsidR="00214660" w:rsidRPr="008B0B49" w:rsidRDefault="00214660" w:rsidP="002146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Prezantimi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draft-Planit të Veprimit/ Komponenti antikorupsion:Planet e Integritetit</w:t>
            </w:r>
            <w:r w:rsidR="004D341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, i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rishikuar</w:t>
            </w:r>
          </w:p>
          <w:p w:rsidR="00214660" w:rsidRPr="008B0B49" w:rsidRDefault="00214660" w:rsidP="002146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Prezantimi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Matricës së Prioritizimit</w:t>
            </w:r>
            <w:r w:rsidR="004D341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, i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rishikuar </w:t>
            </w:r>
          </w:p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Discussion / Feedback from stakeholders</w:t>
            </w:r>
          </w:p>
        </w:tc>
        <w:tc>
          <w:tcPr>
            <w:tcW w:w="5071" w:type="dxa"/>
            <w:gridSpan w:val="7"/>
          </w:tcPr>
          <w:p w:rsidR="00AB4D6E" w:rsidRDefault="00890A45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168501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7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214660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214660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997574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214660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BF0388" w:rsidRDefault="00BF0388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BF0388" w:rsidRPr="00F50B8E" w:rsidRDefault="00BF0388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Të pranishm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ve iu kërkua direkt feedback në tryezë; iu kërkua që të mund ta sillnin edhe via email në adresat e pikave të kontaktit të MD.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Questions and ans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ers</w:t>
            </w:r>
          </w:p>
        </w:tc>
        <w:tc>
          <w:tcPr>
            <w:tcW w:w="5071" w:type="dxa"/>
            <w:gridSpan w:val="7"/>
          </w:tcPr>
          <w:p w:rsidR="00214660" w:rsidRPr="008A29A2" w:rsidRDefault="00890A45" w:rsidP="00214660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4757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60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214660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346823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60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214660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AB4D6E" w:rsidRPr="00F50B8E" w:rsidRDefault="00214660" w:rsidP="00214660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Pjesëm</w:t>
            </w:r>
            <w:r w:rsidR="00AE576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rrësve iu dha mundësia për të bërë pyetje, por nuk kishte të tilla.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Brainstorming</w:t>
            </w:r>
          </w:p>
        </w:tc>
        <w:tc>
          <w:tcPr>
            <w:tcW w:w="5071" w:type="dxa"/>
            <w:gridSpan w:val="7"/>
          </w:tcPr>
          <w:p w:rsidR="00214660" w:rsidRPr="008A29A2" w:rsidRDefault="00890A45" w:rsidP="00214660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74008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60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214660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612666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60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214660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214660" w:rsidRDefault="005D078E" w:rsidP="00214660">
            <w:pPr>
              <w:widowControl/>
              <w:autoSpaceDE/>
              <w:autoSpaceDN/>
              <w:spacing w:before="10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>Mendimet e ofruara u dhan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 xml:space="preserve"> direkt nga pjes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>sit n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 xml:space="preserve"> takim. Mor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>n fjal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>n gjat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 xml:space="preserve"> koh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>s s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 xml:space="preserve"> diskutimeve t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 xml:space="preserve"> parashikuara n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 xml:space="preserve"> agend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78E" w:rsidRDefault="005D078E" w:rsidP="00214660">
            <w:pPr>
              <w:widowControl/>
              <w:autoSpaceDE/>
              <w:autoSpaceDN/>
              <w:spacing w:before="10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8E" w:rsidRPr="005D078E" w:rsidRDefault="005D078E" w:rsidP="00214660">
            <w:pPr>
              <w:widowControl/>
              <w:autoSpaceDE/>
              <w:autoSpaceDN/>
              <w:spacing w:before="10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Shikoni m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shum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seksionin n</w:t>
            </w:r>
            <w:r w:rsidR="00890A4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vijim: rezultate dhe gjetje. </w:t>
            </w:r>
          </w:p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  <w:shd w:val="clear" w:color="auto" w:fill="D9D9D9" w:themeFill="background1" w:themeFillShade="D9"/>
            <w:vAlign w:val="center"/>
          </w:tcPr>
          <w:p w:rsidR="00AB4D6E" w:rsidRPr="00F50B8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Stakeholder Selection</w:t>
            </w:r>
          </w:p>
        </w:tc>
        <w:tc>
          <w:tcPr>
            <w:tcW w:w="5071" w:type="dxa"/>
            <w:gridSpan w:val="7"/>
            <w:shd w:val="clear" w:color="auto" w:fill="D9D9D9" w:themeFill="background1" w:themeFillShade="D9"/>
            <w:vAlign w:val="center"/>
          </w:tcPr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Details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selected?</w:t>
            </w:r>
          </w:p>
        </w:tc>
        <w:tc>
          <w:tcPr>
            <w:tcW w:w="5071" w:type="dxa"/>
            <w:gridSpan w:val="7"/>
          </w:tcPr>
          <w:p w:rsidR="00F97D1B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Pjesëmarrësit u përzgjodhën nga lista që MD, për fushën e politikave AK ka dhe përdor për të diskutuar dhe ndarë mendime. MD ka një marrëveshje me OSHC, Forumi i Shoqërisë Civile në fushën AK, i krijuar </w:t>
            </w:r>
            <w:proofErr w:type="gramStart"/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në  Shkurt</w:t>
            </w:r>
            <w:proofErr w:type="gramEnd"/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2020 (Java e Integritetit) dhe në këtë listë janë të gjithë organizatat që përfshira në këtë Forum.</w:t>
            </w:r>
          </w:p>
          <w:p w:rsidR="00F97D1B" w:rsidRDefault="00F97D1B" w:rsidP="00F97D1B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E0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Gjithashtu, pjesëmarrësit u selektuan nga kontaktet dhe eksperiencat e mëparshme të ngjashme me Minstrinë e Drejtësisë.</w:t>
            </w:r>
            <w:r w:rsidRPr="00A30E0E">
              <w:rPr>
                <w:rFonts w:ascii="Times New Roman" w:hAnsi="Times New Roman" w:cs="Times New Roman"/>
              </w:rPr>
              <w:t xml:space="preserve"> </w:t>
            </w:r>
          </w:p>
          <w:p w:rsidR="00AB4D6E" w:rsidRPr="00F97D1B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97D1B">
              <w:rPr>
                <w:sz w:val="24"/>
                <w:szCs w:val="24"/>
              </w:rPr>
              <w:t>Pjesëmarrësit në këtë takim u ofruan të përcjellin një liste kontakti me OSHC</w:t>
            </w:r>
            <w:r w:rsidR="004D3417">
              <w:rPr>
                <w:sz w:val="24"/>
                <w:szCs w:val="24"/>
              </w:rPr>
              <w:t xml:space="preserve"> të reja/aktive </w:t>
            </w:r>
            <w:r w:rsidRPr="00F97D1B">
              <w:rPr>
                <w:sz w:val="24"/>
                <w:szCs w:val="24"/>
              </w:rPr>
              <w:t xml:space="preserve">për të qenë prezent në takimet e </w:t>
            </w:r>
            <w:proofErr w:type="gramStart"/>
            <w:r w:rsidRPr="00F97D1B">
              <w:rPr>
                <w:sz w:val="24"/>
                <w:szCs w:val="24"/>
              </w:rPr>
              <w:t>tjera  konsultative</w:t>
            </w:r>
            <w:proofErr w:type="gramEnd"/>
            <w:r w:rsidRPr="00F97D1B">
              <w:rPr>
                <w:sz w:val="24"/>
                <w:szCs w:val="24"/>
              </w:rPr>
              <w:t xml:space="preserve"> të PV-OGP 2020-2022 brenda dt. 02/10/2020.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contacted?</w:t>
            </w:r>
          </w:p>
        </w:tc>
        <w:tc>
          <w:tcPr>
            <w:tcW w:w="5071" w:type="dxa"/>
            <w:gridSpan w:val="7"/>
          </w:tcPr>
          <w:p w:rsidR="00AB4D6E" w:rsidRPr="00F50B8E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Palët e interesuara u kontaktuan në rrugë elektronike/ via e-mail/ Telefon.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>Ho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many stakeholders 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contacted?</w:t>
            </w:r>
          </w:p>
        </w:tc>
        <w:tc>
          <w:tcPr>
            <w:tcW w:w="5071" w:type="dxa"/>
            <w:gridSpan w:val="7"/>
          </w:tcPr>
          <w:p w:rsidR="00AB4D6E" w:rsidRPr="00F50B8E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(Rreth) 50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890A45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as the consultation announced publically? (</w:t>
            </w:r>
            <w:proofErr w:type="gramStart"/>
            <w:r w:rsidR="00AB4D6E"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via</w:t>
            </w:r>
            <w:proofErr w:type="gramEnd"/>
            <w:r w:rsidR="00AB4D6E"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ebsites, social media, etc.)</w:t>
            </w:r>
          </w:p>
        </w:tc>
        <w:tc>
          <w:tcPr>
            <w:tcW w:w="5071" w:type="dxa"/>
            <w:gridSpan w:val="7"/>
          </w:tcPr>
          <w:p w:rsidR="00F97D1B" w:rsidRPr="00F50B8E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1487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Njoftimi është kryer vetëm në rrugë elektronike/via-email dhe telefon.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Eventi është publikuar/promovuar në faqen zyrtare të Ministrisë së Drejtësisë. Shih:</w:t>
            </w:r>
            <w:r>
              <w:t xml:space="preserve"> </w:t>
            </w:r>
            <w:hyperlink r:id="rId7" w:history="1">
              <w:r w:rsidR="004D3417" w:rsidRPr="009041FF">
                <w:rPr>
                  <w:rStyle w:val="Hyperlink"/>
                </w:rPr>
                <w:t>http://</w:t>
              </w:r>
              <w:r w:rsidR="00890A45">
                <w:rPr>
                  <w:rStyle w:val="Hyperlink"/>
                </w:rPr>
                <w:t>ëëë</w:t>
              </w:r>
              <w:r w:rsidR="004D3417" w:rsidRPr="009041FF">
                <w:rPr>
                  <w:rStyle w:val="Hyperlink"/>
                </w:rPr>
                <w:t>.drejtesia.gov.al/ne</w:t>
              </w:r>
              <w:r w:rsidR="00890A45">
                <w:rPr>
                  <w:rStyle w:val="Hyperlink"/>
                </w:rPr>
                <w:t>ë</w:t>
              </w:r>
              <w:r w:rsidR="004D3417" w:rsidRPr="009041FF">
                <w:rPr>
                  <w:rStyle w:val="Hyperlink"/>
                </w:rPr>
                <w:t>sroom/lajme/ministria-e-drejtesise-koordinatori-kombetar-kunder-korrupsionit-forcon-bashkepunimin-me-oshc-ne-hartimin-e-akteve-te-kuadrit-strategjik-politikeberes/</w:t>
              </w:r>
            </w:hyperlink>
            <w:r w:rsidR="004D3417">
              <w:t xml:space="preserve"> 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890A45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reminded?</w:t>
            </w:r>
          </w:p>
        </w:tc>
        <w:tc>
          <w:tcPr>
            <w:tcW w:w="5071" w:type="dxa"/>
            <w:gridSpan w:val="7"/>
          </w:tcPr>
          <w:p w:rsidR="00AB4D6E" w:rsidRPr="00F50B8E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Po.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Palët e interesuara dhe të ftuara në këtë proces janë rikujtuar në </w:t>
            </w:r>
            <w:r w:rsidR="00AE576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rrugë elektronike/ via- e-mail/t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elefon.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shd w:val="clear" w:color="auto" w:fill="A6A6A6" w:themeFill="background1" w:themeFillShade="A6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Results/ Findings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  <w:shd w:val="clear" w:color="auto" w:fill="D9D9D9" w:themeFill="background1" w:themeFillShade="D9"/>
          </w:tcPr>
          <w:p w:rsidR="00AB4D6E" w:rsidRPr="00F50B8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Stakeholder Contributions</w:t>
            </w:r>
          </w:p>
        </w:tc>
        <w:tc>
          <w:tcPr>
            <w:tcW w:w="5071" w:type="dxa"/>
            <w:gridSpan w:val="7"/>
            <w:shd w:val="clear" w:color="auto" w:fill="D9D9D9" w:themeFill="background1" w:themeFillShade="D9"/>
          </w:tcPr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Details 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many stakeholders attended?</w:t>
            </w:r>
          </w:p>
        </w:tc>
        <w:tc>
          <w:tcPr>
            <w:tcW w:w="5071" w:type="dxa"/>
            <w:gridSpan w:val="7"/>
          </w:tcPr>
          <w:p w:rsidR="00F97D1B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b/>
                <w:color w:val="000000" w:themeColor="text1"/>
                <w:sz w:val="28"/>
                <w:szCs w:val="28"/>
                <w:lang w:eastAsia="es-ES_tradnl"/>
              </w:rPr>
              <w:t>7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Organizata të Shoqërisë Civile/ </w:t>
            </w:r>
          </w:p>
          <w:p w:rsidR="00AB4D6E" w:rsidRPr="00F50B8E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proofErr w:type="gramStart"/>
            <w:r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Total  7</w:t>
            </w:r>
            <w:proofErr w:type="gramEnd"/>
            <w:r w:rsidRPr="001C2018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 xml:space="preserve"> pjesëmarrës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Did stakeholders contribute? </w:t>
            </w:r>
          </w:p>
        </w:tc>
        <w:tc>
          <w:tcPr>
            <w:tcW w:w="5071" w:type="dxa"/>
            <w:gridSpan w:val="7"/>
          </w:tcPr>
          <w:p w:rsidR="00AB4D6E" w:rsidRPr="00F50B8E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Main issues identified by stakeholders</w:t>
            </w:r>
          </w:p>
        </w:tc>
        <w:tc>
          <w:tcPr>
            <w:tcW w:w="5071" w:type="dxa"/>
            <w:gridSpan w:val="7"/>
          </w:tcPr>
          <w:p w:rsidR="00AB4D6E" w:rsidRPr="001E7C51" w:rsidRDefault="00F97D1B" w:rsidP="00E97C7C">
            <w:pPr>
              <w:widowControl/>
              <w:autoSpaceDE/>
              <w:autoSpaceDN/>
              <w:spacing w:before="60" w:after="6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6751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Transparenca në fush</w:t>
            </w:r>
            <w:r w:rsidR="0067513E" w:rsidRPr="006751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ën e prokurimeve publike/PPP</w:t>
            </w:r>
            <w:r w:rsidR="006751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/</w:t>
            </w:r>
            <w:r w:rsidR="001E7C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Transparencë</w:t>
            </w:r>
            <w:r w:rsidR="0067513E" w:rsidRPr="006751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e shtuar në faqet zyrtare të insti</w:t>
            </w:r>
            <w:r w:rsidR="00E97C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tucioneve qendrore dhe </w:t>
            </w:r>
            <w:r w:rsidR="001E7C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vendore</w:t>
            </w:r>
            <w:proofErr w:type="gramStart"/>
            <w:r w:rsidR="001E7C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./</w:t>
            </w:r>
            <w:proofErr w:type="gramEnd"/>
            <w:r w:rsidR="004D341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Amendimi i</w:t>
            </w:r>
            <w:r w:rsidR="0067513E" w:rsidRPr="006751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kuadrit ligjor në f</w:t>
            </w:r>
            <w:r w:rsidR="001E7C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ushën e prokurimeve/lobimit/etj/</w:t>
            </w:r>
            <w:r w:rsidR="0067513E" w:rsidRPr="006751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Përmirës</w:t>
            </w:r>
            <w:r w:rsidR="004D341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imi i</w:t>
            </w:r>
            <w:r w:rsidR="001E7C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inst</w:t>
            </w:r>
            <w:r w:rsidR="004D341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rumenteve strategjikë/Unifikim i</w:t>
            </w:r>
            <w:r w:rsidR="001E7C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të dhënave publike/</w:t>
            </w:r>
            <w:r w:rsidR="0067513E" w:rsidRPr="006751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Rritje e rolit të OSHC-ve në cilësinë e ekspertit të hartimin e dokumenteve strategjike/ monitorimin e zbatueshmë</w:t>
            </w:r>
            <w:r w:rsidR="001E7C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risë së dokumenteve strategjike.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Main recommendations from stakeholders?</w:t>
            </w:r>
          </w:p>
        </w:tc>
        <w:tc>
          <w:tcPr>
            <w:tcW w:w="5071" w:type="dxa"/>
            <w:gridSpan w:val="7"/>
          </w:tcPr>
          <w:p w:rsidR="00AB4D6E" w:rsidRDefault="005D07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Po. </w:t>
            </w:r>
          </w:p>
          <w:p w:rsidR="005D078E" w:rsidRDefault="005D07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5D078E" w:rsidRDefault="005D07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Lutem referojuni informacionit n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vijim, seksioni rezultate dhe gjetje.</w:t>
            </w:r>
          </w:p>
          <w:p w:rsidR="005D078E" w:rsidRPr="00F50B8E" w:rsidRDefault="005D07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shd w:val="clear" w:color="auto" w:fill="A6A6A6" w:themeFill="background1" w:themeFillShade="A6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Shortcomings Identified &amp; Preparations for Next Consultation 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  <w:shd w:val="clear" w:color="auto" w:fill="D9D9D9" w:themeFill="background1" w:themeFillShade="D9"/>
          </w:tcPr>
          <w:p w:rsidR="00AB4D6E" w:rsidRPr="00F50B8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5071" w:type="dxa"/>
            <w:gridSpan w:val="7"/>
            <w:shd w:val="clear" w:color="auto" w:fill="D9D9D9" w:themeFill="background1" w:themeFillShade="D9"/>
          </w:tcPr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Details 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Limitations in stakeholder attendance</w:t>
            </w:r>
          </w:p>
        </w:tc>
        <w:tc>
          <w:tcPr>
            <w:tcW w:w="5071" w:type="dxa"/>
            <w:gridSpan w:val="7"/>
          </w:tcPr>
          <w:p w:rsidR="00AB4D6E" w:rsidRPr="00F50B8E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</w:t>
            </w:r>
            <w:r w:rsidR="00AE576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; janë thirrur për të qenë pjesë e takimit OSHC që operojnë në fushën e politikave AK</w:t>
            </w:r>
            <w:r w:rsidR="005D07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dhe q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D07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jan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D07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pjese e forumit AK.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AB4D6E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Limitations in stakeholder participation</w:t>
            </w:r>
          </w:p>
        </w:tc>
        <w:tc>
          <w:tcPr>
            <w:tcW w:w="5071" w:type="dxa"/>
            <w:gridSpan w:val="7"/>
          </w:tcPr>
          <w:p w:rsidR="00AB4D6E" w:rsidRDefault="00AE5766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Jo. Të gjithë OSHC e thirrura në takim nuk kanë pasur pengesa për marrë pjesë. Takimi ka qenë lehtësisht i aksesueshëm via </w:t>
            </w:r>
            <w:r w:rsidR="00890A45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AE5766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ebex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. </w:t>
            </w:r>
          </w:p>
          <w:p w:rsidR="005D078E" w:rsidRDefault="005D07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5D078E" w:rsidRPr="00F50B8E" w:rsidRDefault="005D078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marrja e kufizuar n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krahasim me numrin e t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thirrurve n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takim mund t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ket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lidhje me v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mendjen dhe koh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e OSHC p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tu angazhuar n</w:t>
            </w:r>
            <w:r w:rsidR="00890A4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takim/proces.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890A45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hat can be done to improve attendance?</w:t>
            </w:r>
          </w:p>
        </w:tc>
        <w:tc>
          <w:tcPr>
            <w:tcW w:w="5071" w:type="dxa"/>
            <w:gridSpan w:val="7"/>
          </w:tcPr>
          <w:p w:rsidR="00AB4D6E" w:rsidRPr="00F50B8E" w:rsidRDefault="00F97D1B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Njoftimi shtypi- Ftesë e Hapur/ Promovimi në rrjete sociale i eventit.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6379" w:type="dxa"/>
            <w:gridSpan w:val="12"/>
          </w:tcPr>
          <w:p w:rsidR="00AB4D6E" w:rsidRPr="00F50B8E" w:rsidRDefault="00890A45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B4D6E" w:rsidRPr="00F50B8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hat can be done to improve participation in the next meeting?</w:t>
            </w:r>
          </w:p>
        </w:tc>
        <w:tc>
          <w:tcPr>
            <w:tcW w:w="5071" w:type="dxa"/>
            <w:gridSpan w:val="7"/>
          </w:tcPr>
          <w:p w:rsidR="00AB4D6E" w:rsidRPr="00246DD3" w:rsidRDefault="00246DD3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Organizimi i një “B</w:t>
            </w:r>
            <w:r w:rsidRP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rainstorming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”/ stuhi mendimesh</w:t>
            </w:r>
          </w:p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AB4D6E" w:rsidRPr="00F50B8E" w:rsidRDefault="00AB4D6E" w:rsidP="00F97D1B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  <w:szCs w:val="24"/>
                <w:lang w:eastAsia="es-ES_tradnl"/>
              </w:rPr>
              <w:lastRenderedPageBreak/>
              <w:t>STAKEHOLDER FEEDBACK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074" w:type="dxa"/>
            <w:gridSpan w:val="3"/>
            <w:tcBorders>
              <w:top w:val="thinThickMediumGap" w:sz="24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Name:</w:t>
            </w:r>
          </w:p>
        </w:tc>
        <w:tc>
          <w:tcPr>
            <w:tcW w:w="2423" w:type="dxa"/>
            <w:gridSpan w:val="4"/>
            <w:tcBorders>
              <w:top w:val="thinThickMediumGap" w:sz="24" w:space="0" w:color="auto"/>
              <w:left w:val="dashSmallGap" w:sz="8" w:space="0" w:color="auto"/>
            </w:tcBorders>
            <w:shd w:val="clear" w:color="auto" w:fill="FFFFFF" w:themeFill="background1"/>
            <w:vAlign w:val="center"/>
          </w:tcPr>
          <w:p w:rsidR="00AB4D6E" w:rsidRPr="00F50B8E" w:rsidRDefault="00246DD3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Znj. Rovena Sulstarova</w:t>
            </w:r>
          </w:p>
        </w:tc>
        <w:tc>
          <w:tcPr>
            <w:tcW w:w="1715" w:type="dxa"/>
            <w:gridSpan w:val="2"/>
            <w:tcBorders>
              <w:top w:val="thinThickMediumGap" w:sz="24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Affiliation:</w:t>
            </w:r>
          </w:p>
        </w:tc>
        <w:tc>
          <w:tcPr>
            <w:tcW w:w="2680" w:type="dxa"/>
            <w:gridSpan w:val="4"/>
            <w:tcBorders>
              <w:top w:val="thinThickMediumGap" w:sz="24" w:space="0" w:color="auto"/>
              <w:left w:val="dashSmallGap" w:sz="8" w:space="0" w:color="auto"/>
            </w:tcBorders>
            <w:shd w:val="clear" w:color="auto" w:fill="FFFFFF" w:themeFill="background1"/>
            <w:vAlign w:val="center"/>
          </w:tcPr>
          <w:p w:rsidR="00246DD3" w:rsidRPr="00BE7EFC" w:rsidRDefault="00246DD3" w:rsidP="00246DD3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Instituti pë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r</w:t>
            </w: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Demokraci dhe Ndërmjetësim</w:t>
            </w:r>
          </w:p>
          <w:p w:rsidR="00246DD3" w:rsidRDefault="00890A45" w:rsidP="00246DD3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hyperlink r:id="rId8" w:history="1">
              <w:r w:rsidR="00246DD3" w:rsidRPr="00BE49E8">
                <w:rPr>
                  <w:rStyle w:val="Hyperlink"/>
                  <w:rFonts w:ascii="Times New Roman" w:eastAsia="Arial" w:hAnsi="Times New Roman" w:cs="Times New Roman"/>
                  <w:b/>
                  <w:sz w:val="24"/>
                  <w:szCs w:val="24"/>
                  <w:lang w:eastAsia="es-ES_tradnl"/>
                </w:rPr>
                <w:t>https://idmalbania.org/</w:t>
              </w:r>
            </w:hyperlink>
          </w:p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1135" w:type="dxa"/>
            <w:gridSpan w:val="3"/>
            <w:tcBorders>
              <w:top w:val="thinThickMediumGap" w:sz="24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Position:</w:t>
            </w:r>
          </w:p>
        </w:tc>
        <w:tc>
          <w:tcPr>
            <w:tcW w:w="2423" w:type="dxa"/>
            <w:gridSpan w:val="3"/>
            <w:tcBorders>
              <w:top w:val="thinThickMediumGap" w:sz="24" w:space="0" w:color="auto"/>
              <w:left w:val="dashSmallGap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F50B8E" w:rsidRDefault="00246DD3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D53C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Mena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xher i Programit të Qeverisjes/ E</w:t>
            </w:r>
            <w:r w:rsidRPr="000D53C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ksperte ligjore</w:t>
            </w: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double" w:sz="12" w:space="0" w:color="auto"/>
              <w:left w:val="single" w:sz="1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Issues Raised</w:t>
            </w:r>
          </w:p>
        </w:tc>
        <w:tc>
          <w:tcPr>
            <w:tcW w:w="9374" w:type="dxa"/>
            <w:gridSpan w:val="14"/>
            <w:tcBorders>
              <w:top w:val="double" w:sz="1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5D078E" w:rsidRDefault="00AB4D6E" w:rsidP="005D078E">
            <w:pPr>
              <w:widowControl/>
              <w:autoSpaceDE/>
              <w:autoSpaceDN/>
              <w:spacing w:before="60" w:after="6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Feedback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246DD3" w:rsidRDefault="005D078E" w:rsidP="005D078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60" w:after="6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246DD3">
              <w:rPr>
                <w:sz w:val="24"/>
                <w:szCs w:val="24"/>
              </w:rPr>
              <w:t>Vendosjen e një tjetër objektivi i cili të jetë i lidhur me “Transparencën e kontratave të prokurimeve ose PPP</w:t>
            </w: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Ideas Suggested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5D078E" w:rsidRDefault="00246DD3" w:rsidP="00246DD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60" w:after="6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246DD3">
              <w:rPr>
                <w:sz w:val="24"/>
                <w:szCs w:val="24"/>
              </w:rPr>
              <w:t>Përfshirja e instrumenteve metodologjike të hartuara si: Met</w:t>
            </w:r>
            <w:r w:rsidR="00D511BF">
              <w:rPr>
                <w:sz w:val="24"/>
                <w:szCs w:val="24"/>
              </w:rPr>
              <w:t>o</w:t>
            </w:r>
            <w:r w:rsidRPr="00246DD3">
              <w:rPr>
                <w:sz w:val="24"/>
                <w:szCs w:val="24"/>
              </w:rPr>
              <w:t>dologjia e Vlerësimit të Riskut; Metodologjia e Hartimit të Raport të Monitorimit të PI/ template të ndryshme etj  si pjesë e kurrikulave dhe moduleve të trajnimeve  të Shkollës së Administratës Publike me qëllim që punonjësit e administratës publike të njihen me këto dokumente</w:t>
            </w:r>
          </w:p>
          <w:p w:rsidR="005D078E" w:rsidRPr="00246DD3" w:rsidRDefault="005D078E" w:rsidP="005D078E">
            <w:pPr>
              <w:pStyle w:val="ListParagraph"/>
              <w:numPr>
                <w:ilvl w:val="0"/>
                <w:numId w:val="13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Hartimi i një metodologjie të </w:t>
            </w:r>
            <w:r w:rsidRPr="00246DD3">
              <w:rPr>
                <w:i/>
                <w:sz w:val="24"/>
                <w:szCs w:val="24"/>
              </w:rPr>
              <w:t>Corruption Proof</w:t>
            </w:r>
            <w:r w:rsidRPr="00246DD3">
              <w:rPr>
                <w:sz w:val="24"/>
                <w:szCs w:val="24"/>
              </w:rPr>
              <w:t xml:space="preserve"> një fenonem i njohur gjerësisht në Ballkan i cili identifikohet si “Kapja e Shtetit” i lidhur me të ashtuquajtura  “Ligje të përgatitura me porosi” me qëllim parandalimin e fenomenit  të bërjes së ligjeve me porosi dhe të korrupsionit. </w:t>
            </w:r>
          </w:p>
          <w:p w:rsidR="005D078E" w:rsidRPr="00246DD3" w:rsidRDefault="005D078E" w:rsidP="005D078E">
            <w:pPr>
              <w:pStyle w:val="ListParagraph"/>
              <w:widowControl/>
              <w:autoSpaceDE/>
              <w:autoSpaceDN/>
              <w:spacing w:before="60" w:after="60"/>
              <w:ind w:left="72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Other Comments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5D078E" w:rsidRDefault="00AB4D6E" w:rsidP="005D078E">
            <w:pPr>
              <w:spacing w:before="100"/>
              <w:contextualSpacing/>
              <w:jc w:val="both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2"/>
          <w:wAfter w:w="46" w:type="dxa"/>
        </w:trPr>
        <w:tc>
          <w:tcPr>
            <w:tcW w:w="992" w:type="dxa"/>
            <w:gridSpan w:val="2"/>
            <w:tcBorders>
              <w:top w:val="thinThickMediumGap" w:sz="24" w:space="0" w:color="auto"/>
              <w:left w:val="single" w:sz="1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Name:</w:t>
            </w:r>
          </w:p>
        </w:tc>
        <w:tc>
          <w:tcPr>
            <w:tcW w:w="236" w:type="dxa"/>
            <w:gridSpan w:val="2"/>
            <w:tcBorders>
              <w:top w:val="thinThickMediumGap" w:sz="24" w:space="0" w:color="auto"/>
              <w:left w:val="dashSmallGap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B4D6E" w:rsidRPr="00F50B8E" w:rsidRDefault="00AB4D6E" w:rsidP="00492C2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2414" w:type="dxa"/>
            <w:gridSpan w:val="4"/>
            <w:tcBorders>
              <w:top w:val="thinThickMediumGap" w:sz="24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46DD3" w:rsidRDefault="00246DD3" w:rsidP="00246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Default="00246DD3" w:rsidP="00246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Z. Zef Preçi</w:t>
            </w:r>
          </w:p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1705" w:type="dxa"/>
            <w:gridSpan w:val="2"/>
            <w:tcBorders>
              <w:top w:val="thinThickMediumGap" w:sz="24" w:space="0" w:color="auto"/>
              <w:left w:val="single" w:sz="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Affiliation:</w:t>
            </w:r>
          </w:p>
        </w:tc>
        <w:tc>
          <w:tcPr>
            <w:tcW w:w="2592" w:type="dxa"/>
            <w:gridSpan w:val="4"/>
            <w:tcBorders>
              <w:top w:val="thinThickMediumGap" w:sz="24" w:space="0" w:color="auto"/>
              <w:left w:val="dashSmallGap" w:sz="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D6E" w:rsidRPr="00F50B8E" w:rsidRDefault="00246DD3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Qendra Shiptare për Kërkime Ekonomike</w:t>
            </w:r>
          </w:p>
        </w:tc>
        <w:tc>
          <w:tcPr>
            <w:tcW w:w="1134" w:type="dxa"/>
            <w:gridSpan w:val="3"/>
            <w:tcBorders>
              <w:top w:val="thinThickMediumGap" w:sz="24" w:space="0" w:color="auto"/>
              <w:left w:val="single" w:sz="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Position:</w:t>
            </w:r>
          </w:p>
        </w:tc>
        <w:tc>
          <w:tcPr>
            <w:tcW w:w="2363" w:type="dxa"/>
            <w:tcBorders>
              <w:top w:val="thinThickMediumGap" w:sz="24" w:space="0" w:color="auto"/>
              <w:left w:val="dashSmallGap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4D6E" w:rsidRPr="00F50B8E" w:rsidRDefault="00246DD3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Drejtor Ekzekutiv</w:t>
            </w: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Issues Raised</w:t>
            </w:r>
          </w:p>
        </w:tc>
        <w:tc>
          <w:tcPr>
            <w:tcW w:w="9374" w:type="dxa"/>
            <w:gridSpan w:val="14"/>
            <w:tcBorders>
              <w:top w:val="double" w:sz="1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2A5534" w:rsidRDefault="00AB4D6E" w:rsidP="002A5534">
            <w:pPr>
              <w:widowControl/>
              <w:autoSpaceDE/>
              <w:autoSpaceDN/>
              <w:spacing w:before="60" w:after="6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Feedback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F50B8E" w:rsidRDefault="002A5534" w:rsidP="002A5534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60" w:after="6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AD6D0F">
              <w:rPr>
                <w:sz w:val="24"/>
                <w:szCs w:val="24"/>
              </w:rPr>
              <w:t xml:space="preserve">Zhvendosja e  debatit nga korrupsioni në tërësi si slogan politik dhe i kapërcyer  në </w:t>
            </w:r>
            <w:r>
              <w:rPr>
                <w:sz w:val="24"/>
                <w:szCs w:val="24"/>
              </w:rPr>
              <w:t xml:space="preserve">kohë drejt mirëqeverisjes me qëllim që </w:t>
            </w:r>
            <w:r w:rsidRPr="00AD6D0F">
              <w:rPr>
                <w:sz w:val="24"/>
                <w:szCs w:val="24"/>
              </w:rPr>
              <w:t>institucionet të analizohen individualisht</w:t>
            </w: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Ideas Suggested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246DD3" w:rsidRDefault="00246DD3" w:rsidP="00246DD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Rishikimi me vëmendje dhe kujdes i të gjithave raporteve të agjensive ligjzbatuese si KLSH apo institucioneve </w:t>
            </w:r>
            <w:proofErr w:type="gramStart"/>
            <w:r w:rsidRPr="00246DD3">
              <w:rPr>
                <w:sz w:val="24"/>
                <w:szCs w:val="24"/>
              </w:rPr>
              <w:t>si  Prokuroria</w:t>
            </w:r>
            <w:proofErr w:type="gramEnd"/>
            <w:r w:rsidRPr="00246DD3">
              <w:rPr>
                <w:sz w:val="24"/>
                <w:szCs w:val="24"/>
              </w:rPr>
              <w:t xml:space="preserve"> të cilat mund të konsiderohen si burime të mira  për t’u marrrë në konsideratë nga ana e titullarëve gjatë procesit të vendimarrjes dhe përmirësimit të gjetjeve.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1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Amendimi i kuadrit ligjor lidhur me përgjegjshmërinë/papërgjegjshmërinë instuticionale (personale) të titullarit të institucionit. </w:t>
            </w:r>
            <w:r w:rsidRPr="00246DD3">
              <w:rPr>
                <w:i/>
                <w:sz w:val="24"/>
                <w:szCs w:val="24"/>
              </w:rPr>
              <w:t>(Në rastin e largimeve nga puna me pa të drejtë, zbatimin e vendimeve të formës së prerë të gjykatës, etj).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1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>Amendimi/rishikimi i kuadrit ligjor në fushën e prokurimeve (</w:t>
            </w:r>
            <w:r w:rsidRPr="00246DD3">
              <w:rPr>
                <w:i/>
                <w:sz w:val="24"/>
                <w:szCs w:val="24"/>
              </w:rPr>
              <w:t>veçanërisht edhe në kohë pandemie Covid-19</w:t>
            </w:r>
            <w:r w:rsidRPr="00246DD3">
              <w:rPr>
                <w:sz w:val="24"/>
                <w:szCs w:val="24"/>
              </w:rPr>
              <w:t>)</w:t>
            </w:r>
            <w:proofErr w:type="gramStart"/>
            <w:r w:rsidRPr="00246DD3">
              <w:rPr>
                <w:sz w:val="24"/>
                <w:szCs w:val="24"/>
              </w:rPr>
              <w:t>,  nisur</w:t>
            </w:r>
            <w:proofErr w:type="gramEnd"/>
            <w:r w:rsidRPr="00246DD3">
              <w:rPr>
                <w:sz w:val="24"/>
                <w:szCs w:val="24"/>
              </w:rPr>
              <w:t xml:space="preserve"> nga  adresimi i problematikave me kontratat publike/PPP në sektorin e prokurimeve.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1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Amendimi/ rishikimi i kuadrit ligjor </w:t>
            </w:r>
            <w:proofErr w:type="gramStart"/>
            <w:r w:rsidRPr="00246DD3">
              <w:rPr>
                <w:sz w:val="24"/>
                <w:szCs w:val="24"/>
              </w:rPr>
              <w:t>sa</w:t>
            </w:r>
            <w:proofErr w:type="gramEnd"/>
            <w:r w:rsidRPr="00246DD3">
              <w:rPr>
                <w:sz w:val="24"/>
                <w:szCs w:val="24"/>
              </w:rPr>
              <w:t xml:space="preserve"> i takon çështjes së lobimit. Krijimi i një regjistri të posaçëm të regjistrimit të lobistëve. Përcaktimi i detyrimit që titullarët/lobistët/personat përgjegjës që kryejnë aktivitetin e lobingut të dokumentojë dhe të bëjnë publike takimet/diskutimet në kuadër të aktivitetit të lobingut.  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1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>Uniformizimi i informacionit dhe standarteve të raportimit në kuadër të transparencës dhe publikimi i tyre në mënyrë periodike në faqen zyrtare të institucionit/organizatës.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1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>Rritja e rolit të Organizatave të Shoqërisë Civile (në vijim OSHC) dhe përfshirja e tyre në procesin e monitorimit dhe zbatimit të dokumenteve strategjikë.</w:t>
            </w:r>
          </w:p>
          <w:p w:rsidR="00246DD3" w:rsidRPr="00F50B8E" w:rsidRDefault="00246DD3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lastRenderedPageBreak/>
              <w:t>Other Comments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F50B8E" w:rsidRDefault="00246DD3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-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074" w:type="dxa"/>
            <w:gridSpan w:val="3"/>
            <w:tcBorders>
              <w:top w:val="thinThickMediumGap" w:sz="24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Name:</w:t>
            </w:r>
          </w:p>
        </w:tc>
        <w:tc>
          <w:tcPr>
            <w:tcW w:w="2423" w:type="dxa"/>
            <w:gridSpan w:val="4"/>
            <w:tcBorders>
              <w:top w:val="thinThickMediumGap" w:sz="24" w:space="0" w:color="auto"/>
              <w:left w:val="dashSmallGap" w:sz="8" w:space="0" w:color="auto"/>
            </w:tcBorders>
            <w:shd w:val="clear" w:color="auto" w:fill="FFFFFF" w:themeFill="background1"/>
            <w:vAlign w:val="center"/>
          </w:tcPr>
          <w:p w:rsidR="00246DD3" w:rsidRDefault="00246DD3" w:rsidP="00246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Default="00246DD3" w:rsidP="00246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Ariola Agolli</w:t>
            </w:r>
          </w:p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1715" w:type="dxa"/>
            <w:gridSpan w:val="2"/>
            <w:tcBorders>
              <w:top w:val="thinThickMediumGap" w:sz="24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Affiliation:</w:t>
            </w:r>
          </w:p>
        </w:tc>
        <w:tc>
          <w:tcPr>
            <w:tcW w:w="2680" w:type="dxa"/>
            <w:gridSpan w:val="4"/>
            <w:tcBorders>
              <w:top w:val="thinThickMediumGap" w:sz="24" w:space="0" w:color="auto"/>
              <w:left w:val="dashSmallGap" w:sz="8" w:space="0" w:color="auto"/>
            </w:tcBorders>
            <w:shd w:val="clear" w:color="auto" w:fill="FFFFFF" w:themeFill="background1"/>
            <w:vAlign w:val="center"/>
          </w:tcPr>
          <w:p w:rsidR="00AB4D6E" w:rsidRPr="00F50B8E" w:rsidRDefault="00246DD3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Partners</w:t>
            </w:r>
          </w:p>
        </w:tc>
        <w:tc>
          <w:tcPr>
            <w:tcW w:w="1135" w:type="dxa"/>
            <w:gridSpan w:val="3"/>
            <w:tcBorders>
              <w:top w:val="thinThickMediumGap" w:sz="24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Position:</w:t>
            </w:r>
          </w:p>
        </w:tc>
        <w:tc>
          <w:tcPr>
            <w:tcW w:w="2423" w:type="dxa"/>
            <w:gridSpan w:val="3"/>
            <w:tcBorders>
              <w:top w:val="thinThickMediumGap" w:sz="24" w:space="0" w:color="auto"/>
              <w:left w:val="dashSmallGap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Default="00AB4D6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  <w:p w:rsidR="0067513E" w:rsidRPr="00F50B8E" w:rsidRDefault="0067513E" w:rsidP="00F97D1B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Drejtor Programi</w:t>
            </w: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double" w:sz="12" w:space="0" w:color="auto"/>
              <w:left w:val="single" w:sz="1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Issues Raised</w:t>
            </w:r>
          </w:p>
        </w:tc>
        <w:tc>
          <w:tcPr>
            <w:tcW w:w="9374" w:type="dxa"/>
            <w:gridSpan w:val="14"/>
            <w:tcBorders>
              <w:top w:val="double" w:sz="1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246DD3" w:rsidRDefault="00246DD3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246DD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Qeverisje e hapur në luftën kundër korrupsionit</w:t>
            </w: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Feedback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F50B8E" w:rsidRDefault="00246DD3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-</w:t>
            </w: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Ideas Suggested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46DD3" w:rsidRPr="00246DD3" w:rsidRDefault="00246DD3" w:rsidP="00246DD3">
            <w:pPr>
              <w:pStyle w:val="ListParagraph"/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Rritja e </w:t>
            </w:r>
            <w:proofErr w:type="gramStart"/>
            <w:r w:rsidRPr="00246DD3">
              <w:rPr>
                <w:sz w:val="24"/>
                <w:szCs w:val="24"/>
              </w:rPr>
              <w:t>rolit  të</w:t>
            </w:r>
            <w:proofErr w:type="gramEnd"/>
            <w:r w:rsidRPr="00246DD3">
              <w:rPr>
                <w:sz w:val="24"/>
                <w:szCs w:val="24"/>
              </w:rPr>
              <w:t xml:space="preserve"> OSHC-ve dhe përfshirja e tyre si ekspertë (t) në hartimin e instrumentave metodologjikë në parandalimin dhe luftën kundër korrupsionit. 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Unifikimi i të dhënave publike, publikimi i tyre në faqet zyrtare me qëllim rritjen e transparencës publike vecanërisht për pjesën e prokurorimeve dhe shpenzimeve në të gjitha institucionet qendrore dhe vendore </w:t>
            </w:r>
            <w:r w:rsidRPr="00246DD3">
              <w:rPr>
                <w:i/>
                <w:sz w:val="24"/>
                <w:szCs w:val="24"/>
              </w:rPr>
              <w:t>(veçanërisht në kohë pandemie Covid-19</w:t>
            </w:r>
            <w:r w:rsidRPr="00246DD3">
              <w:rPr>
                <w:sz w:val="24"/>
                <w:szCs w:val="24"/>
              </w:rPr>
              <w:t>).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>Buxhetimi i planeve strategjike në mënyrë të detajuar.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Rritje e investimeve në sisteme dhe në kapacitete të burimeve-njerëzore. 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Forcimi i monitorimit të zbatueshmërisë së “Ligjit për Sinjalizimin dhe Mbrojtjen e Sinalizuesve” </w:t>
            </w:r>
          </w:p>
          <w:p w:rsidR="00246DD3" w:rsidRPr="00246DD3" w:rsidRDefault="00246DD3" w:rsidP="00246DD3">
            <w:pPr>
              <w:pStyle w:val="ListParagraph"/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246DD3">
              <w:rPr>
                <w:sz w:val="24"/>
                <w:szCs w:val="24"/>
              </w:rPr>
              <w:t xml:space="preserve">Përvetësimi i njohurive dhe i mekanizmave të “Ligjit për Sinjalizimin dhe Mbrojtjen e Sinalizuesve” nga ana </w:t>
            </w:r>
            <w:proofErr w:type="gramStart"/>
            <w:r w:rsidRPr="00246DD3">
              <w:rPr>
                <w:sz w:val="24"/>
                <w:szCs w:val="24"/>
              </w:rPr>
              <w:t>e  punonjësve</w:t>
            </w:r>
            <w:proofErr w:type="gramEnd"/>
            <w:r w:rsidRPr="00246DD3">
              <w:rPr>
                <w:sz w:val="24"/>
                <w:szCs w:val="24"/>
              </w:rPr>
              <w:t xml:space="preserve"> të administratës/ struktura përgjegjëse.</w:t>
            </w:r>
          </w:p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AB4D6E" w:rsidRPr="00F50B8E" w:rsidTr="00246DD3">
        <w:trPr>
          <w:gridAfter w:val="1"/>
          <w:wAfter w:w="32" w:type="dxa"/>
          <w:trHeight w:val="680"/>
        </w:trPr>
        <w:tc>
          <w:tcPr>
            <w:tcW w:w="207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AB4D6E" w:rsidRPr="00F50B8E" w:rsidRDefault="00AB4D6E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F50B8E">
              <w:rPr>
                <w:rFonts w:eastAsia="Arial"/>
                <w:b/>
                <w:i/>
                <w:color w:val="000000" w:themeColor="text1"/>
                <w:sz w:val="24"/>
                <w:szCs w:val="24"/>
                <w:lang w:eastAsia="es-ES_tradnl"/>
              </w:rPr>
              <w:t>Other Comments</w:t>
            </w:r>
          </w:p>
        </w:tc>
        <w:tc>
          <w:tcPr>
            <w:tcW w:w="9374" w:type="dxa"/>
            <w:gridSpan w:val="14"/>
            <w:tcBorders>
              <w:top w:val="single" w:sz="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4D6E" w:rsidRPr="00F50B8E" w:rsidRDefault="00246DD3" w:rsidP="00F97D1B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-</w:t>
            </w:r>
          </w:p>
        </w:tc>
      </w:tr>
      <w:tr w:rsidR="00AB4D6E" w:rsidRPr="00F50B8E" w:rsidTr="00246DD3">
        <w:trPr>
          <w:gridAfter w:val="1"/>
          <w:wAfter w:w="32" w:type="dxa"/>
        </w:trPr>
        <w:tc>
          <w:tcPr>
            <w:tcW w:w="114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B4D6E" w:rsidRPr="00F50B8E" w:rsidRDefault="00AB4D6E" w:rsidP="00F97D1B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3C7A5A" w:rsidTr="00246DD3">
        <w:trPr>
          <w:gridBefore w:val="1"/>
          <w:wBefore w:w="142" w:type="dxa"/>
          <w:trHeight w:val="413"/>
        </w:trPr>
        <w:tc>
          <w:tcPr>
            <w:tcW w:w="11340" w:type="dxa"/>
            <w:gridSpan w:val="19"/>
            <w:shd w:val="clear" w:color="auto" w:fill="1F497D" w:themeFill="text2"/>
            <w:vAlign w:val="center"/>
          </w:tcPr>
          <w:p w:rsidR="003C7A5A" w:rsidRDefault="003C7A5A" w:rsidP="003C7A5A">
            <w:pPr>
              <w:spacing w:before="120" w:after="120"/>
              <w:jc w:val="center"/>
            </w:pPr>
            <w:r>
              <w:rPr>
                <w:rFonts w:asciiTheme="majorHAnsi" w:eastAsia="Arial" w:hAnsiTheme="majorHAnsi"/>
                <w:b/>
                <w:color w:val="FFFFFF" w:themeColor="background1"/>
                <w:sz w:val="36"/>
                <w:szCs w:val="28"/>
                <w:lang w:eastAsia="es-ES_tradnl"/>
              </w:rPr>
              <w:t>STAKEHOLDER  ATTENDANCE</w:t>
            </w:r>
          </w:p>
        </w:tc>
      </w:tr>
      <w:tr w:rsidR="003C7A5A" w:rsidTr="00C658A2">
        <w:trPr>
          <w:gridBefore w:val="1"/>
          <w:wBefore w:w="142" w:type="dxa"/>
          <w:trHeight w:val="836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C7A5A" w:rsidRPr="00DA14AF" w:rsidRDefault="003C7A5A" w:rsidP="00F97D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shd w:val="clear" w:color="auto" w:fill="A6A6A6" w:themeFill="background1" w:themeFillShade="A6"/>
            <w:vAlign w:val="center"/>
          </w:tcPr>
          <w:p w:rsidR="003C7A5A" w:rsidRPr="00DA14AF" w:rsidRDefault="003C7A5A" w:rsidP="00F97D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A14A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712" w:type="dxa"/>
            <w:gridSpan w:val="5"/>
            <w:shd w:val="clear" w:color="auto" w:fill="A6A6A6" w:themeFill="background1" w:themeFillShade="A6"/>
            <w:vAlign w:val="center"/>
          </w:tcPr>
          <w:p w:rsidR="003C7A5A" w:rsidRPr="00DA14AF" w:rsidRDefault="003C7A5A" w:rsidP="00F97D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A14AF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DA14AF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</w:t>
            </w:r>
            <w:r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eastAsia="es-ES_tradnl"/>
              </w:rPr>
              <w:br/>
            </w:r>
            <w:r w:rsidRPr="00246DD3">
              <w:rPr>
                <w:rFonts w:asciiTheme="majorHAnsi" w:eastAsia="Arial" w:hAnsiTheme="majorHAnsi"/>
                <w:b/>
                <w:color w:val="000000" w:themeColor="text1"/>
                <w:sz w:val="20"/>
                <w:szCs w:val="24"/>
                <w:lang w:eastAsia="es-ES_tradnl"/>
              </w:rPr>
              <w:t>(full name, not acronyms)</w:t>
            </w:r>
          </w:p>
        </w:tc>
        <w:tc>
          <w:tcPr>
            <w:tcW w:w="2575" w:type="dxa"/>
            <w:gridSpan w:val="4"/>
            <w:shd w:val="clear" w:color="auto" w:fill="A6A6A6" w:themeFill="background1" w:themeFillShade="A6"/>
            <w:vAlign w:val="center"/>
          </w:tcPr>
          <w:p w:rsidR="003C7A5A" w:rsidRPr="00DA14AF" w:rsidRDefault="003C7A5A" w:rsidP="00F97D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A14AF">
              <w:rPr>
                <w:rFonts w:asciiTheme="majorHAnsi" w:hAnsiTheme="majorHAnsi"/>
                <w:b/>
                <w:sz w:val="24"/>
                <w:szCs w:val="24"/>
              </w:rPr>
              <w:t>Position</w:t>
            </w:r>
          </w:p>
        </w:tc>
        <w:tc>
          <w:tcPr>
            <w:tcW w:w="2849" w:type="dxa"/>
            <w:gridSpan w:val="5"/>
            <w:shd w:val="clear" w:color="auto" w:fill="A6A6A6" w:themeFill="background1" w:themeFillShade="A6"/>
            <w:vAlign w:val="center"/>
          </w:tcPr>
          <w:p w:rsidR="003C7A5A" w:rsidRPr="00DA14AF" w:rsidRDefault="003C7A5A" w:rsidP="00F97D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Email</w:t>
            </w:r>
          </w:p>
        </w:tc>
      </w:tr>
      <w:tr w:rsidR="00246DD3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246DD3" w:rsidRPr="00DA14AF" w:rsidRDefault="00246DD3" w:rsidP="00246DD3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4"/>
          </w:tcPr>
          <w:p w:rsidR="00246DD3" w:rsidRDefault="00246DD3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3" w:rsidRDefault="00246DD3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Arsild Tepelija</w:t>
            </w:r>
          </w:p>
          <w:p w:rsidR="00246DD3" w:rsidRPr="00026B2B" w:rsidRDefault="00246DD3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5"/>
          </w:tcPr>
          <w:p w:rsidR="00246DD3" w:rsidRDefault="00246DD3" w:rsidP="002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3" w:rsidRPr="00026B2B" w:rsidRDefault="00AB72DE" w:rsidP="002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Cooperation Development Institute</w:t>
            </w:r>
          </w:p>
        </w:tc>
        <w:tc>
          <w:tcPr>
            <w:tcW w:w="2575" w:type="dxa"/>
            <w:gridSpan w:val="4"/>
          </w:tcPr>
          <w:p w:rsidR="00246DD3" w:rsidRDefault="00246DD3" w:rsidP="00246DD3"/>
        </w:tc>
        <w:tc>
          <w:tcPr>
            <w:tcW w:w="2849" w:type="dxa"/>
            <w:gridSpan w:val="5"/>
          </w:tcPr>
          <w:p w:rsidR="00246DD3" w:rsidRDefault="00246DD3" w:rsidP="00246DD3"/>
          <w:p w:rsidR="00CC6971" w:rsidRDefault="00890A45" w:rsidP="00246DD3">
            <w:hyperlink r:id="rId9" w:history="1">
              <w:r w:rsidR="00CC6971">
                <w:rPr>
                  <w:rStyle w:val="Hyperlink"/>
                  <w:rFonts w:ascii="Calibri" w:hAnsi="Calibri"/>
                </w:rPr>
                <w:t>arsild.tepelija@cdinstitute.edu</w:t>
              </w:r>
            </w:hyperlink>
          </w:p>
        </w:tc>
      </w:tr>
      <w:tr w:rsidR="00246DD3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246DD3" w:rsidRPr="00DA14AF" w:rsidRDefault="00246DD3" w:rsidP="00246DD3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Sabina Babameto</w:t>
            </w:r>
          </w:p>
          <w:p w:rsidR="00246DD3" w:rsidRPr="00026B2B" w:rsidRDefault="00246DD3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0764D5" w:rsidRDefault="000764D5" w:rsidP="0007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3" w:rsidRDefault="000764D5" w:rsidP="0007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6DD3">
              <w:rPr>
                <w:rFonts w:ascii="Times New Roman" w:hAnsi="Times New Roman" w:cs="Times New Roman"/>
                <w:sz w:val="24"/>
                <w:szCs w:val="24"/>
              </w:rPr>
              <w:t>Albania/National Democratic Institute</w:t>
            </w:r>
          </w:p>
          <w:p w:rsidR="000764D5" w:rsidRPr="00026B2B" w:rsidRDefault="000764D5" w:rsidP="0007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246DD3" w:rsidRDefault="00246DD3" w:rsidP="00246DD3"/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246DD3" w:rsidRDefault="00246DD3" w:rsidP="00246DD3"/>
        </w:tc>
      </w:tr>
      <w:tr w:rsidR="00246DD3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246DD3" w:rsidRPr="00DA14AF" w:rsidRDefault="00246DD3" w:rsidP="00246DD3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  <w:gridSpan w:val="4"/>
          </w:tcPr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Eriola Sovali</w:t>
            </w:r>
          </w:p>
          <w:p w:rsidR="00246DD3" w:rsidRPr="00026B2B" w:rsidRDefault="00246DD3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5"/>
          </w:tcPr>
          <w:p w:rsidR="000764D5" w:rsidRDefault="000764D5" w:rsidP="002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3" w:rsidRDefault="00246DD3" w:rsidP="002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Chamber of Commerse in Albania</w:t>
            </w:r>
          </w:p>
          <w:p w:rsidR="000764D5" w:rsidRPr="00026B2B" w:rsidRDefault="000764D5" w:rsidP="002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4"/>
          </w:tcPr>
          <w:p w:rsidR="00246DD3" w:rsidRDefault="00246DD3" w:rsidP="00246DD3"/>
        </w:tc>
        <w:tc>
          <w:tcPr>
            <w:tcW w:w="2849" w:type="dxa"/>
            <w:gridSpan w:val="5"/>
          </w:tcPr>
          <w:p w:rsidR="00246DD3" w:rsidRDefault="00246DD3" w:rsidP="00246DD3"/>
          <w:p w:rsidR="00480E16" w:rsidRDefault="00890A45" w:rsidP="00246DD3">
            <w:pPr>
              <w:rPr>
                <w:rFonts w:ascii="New York" w:hAnsi="New York"/>
                <w:color w:val="7E8890"/>
                <w:sz w:val="26"/>
                <w:szCs w:val="26"/>
                <w:shd w:val="clear" w:color="auto" w:fill="FFFFFF"/>
              </w:rPr>
            </w:pPr>
            <w:hyperlink r:id="rId10" w:history="1">
              <w:r w:rsidR="00480E16" w:rsidRPr="00550B70">
                <w:rPr>
                  <w:rStyle w:val="Hyperlink"/>
                  <w:rFonts w:ascii="New York" w:hAnsi="New York"/>
                  <w:sz w:val="26"/>
                  <w:szCs w:val="26"/>
                  <w:shd w:val="clear" w:color="auto" w:fill="FFFFFF"/>
                </w:rPr>
                <w:t>info@icc-albania.org.al</w:t>
              </w:r>
            </w:hyperlink>
          </w:p>
          <w:p w:rsidR="00480E16" w:rsidRDefault="00480E16" w:rsidP="00246DD3"/>
        </w:tc>
      </w:tr>
      <w:tr w:rsidR="00246DD3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246DD3" w:rsidRPr="00DA14AF" w:rsidRDefault="00246DD3" w:rsidP="00246DD3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Zef Preçi</w:t>
            </w:r>
          </w:p>
          <w:p w:rsidR="00246DD3" w:rsidRPr="00026B2B" w:rsidRDefault="00246DD3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246DD3" w:rsidRPr="00026B2B" w:rsidRDefault="00246DD3" w:rsidP="00246D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Qendra Shiptare për Kërkime Ekonomike</w:t>
            </w:r>
          </w:p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246DD3" w:rsidRDefault="00246DD3" w:rsidP="00246DD3"/>
          <w:p w:rsidR="00480E16" w:rsidRPr="00480E16" w:rsidRDefault="00480E16" w:rsidP="00C658A2">
            <w:r w:rsidRPr="00480E1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Drejtor Ekzekutiv</w:t>
            </w:r>
          </w:p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480E16" w:rsidRDefault="00480E16" w:rsidP="00246DD3">
            <w:pPr>
              <w:rPr>
                <w:rFonts w:ascii="Calibri" w:hAnsi="Calibri"/>
              </w:rPr>
            </w:pPr>
          </w:p>
          <w:p w:rsidR="00246DD3" w:rsidRDefault="00890A45" w:rsidP="00246DD3">
            <w:hyperlink r:id="rId11" w:history="1">
              <w:r w:rsidR="00480E16">
                <w:rPr>
                  <w:rStyle w:val="Hyperlink"/>
                  <w:rFonts w:ascii="Calibri" w:hAnsi="Calibri"/>
                </w:rPr>
                <w:t>zpreci@icc-al.org</w:t>
              </w:r>
            </w:hyperlink>
          </w:p>
        </w:tc>
      </w:tr>
      <w:tr w:rsidR="00246DD3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246DD3" w:rsidRPr="00DA14AF" w:rsidRDefault="00246DD3" w:rsidP="00246DD3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54" w:type="dxa"/>
            <w:gridSpan w:val="4"/>
          </w:tcPr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Pr="00026B2B" w:rsidRDefault="00246DD3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Rovena Sulstarova</w:t>
            </w:r>
          </w:p>
        </w:tc>
        <w:tc>
          <w:tcPr>
            <w:tcW w:w="2712" w:type="dxa"/>
            <w:gridSpan w:val="5"/>
          </w:tcPr>
          <w:p w:rsidR="00246DD3" w:rsidRPr="00BE7EFC" w:rsidRDefault="00246DD3" w:rsidP="00246DD3">
            <w:pPr>
              <w:spacing w:before="60" w:after="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Instituti pë Demokraci dhe Ndërmjetësim</w:t>
            </w:r>
          </w:p>
          <w:p w:rsidR="00246DD3" w:rsidRPr="00026B2B" w:rsidRDefault="00246DD3" w:rsidP="002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4"/>
          </w:tcPr>
          <w:p w:rsidR="00480E16" w:rsidRDefault="00480E16" w:rsidP="00246DD3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</w:p>
          <w:p w:rsidR="00246DD3" w:rsidRDefault="00480E16" w:rsidP="00480E1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D53C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Mena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xher i Programit të Qeverisjes/ E</w:t>
            </w:r>
            <w:r w:rsidRPr="000D53C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ksperte ligjore</w:t>
            </w:r>
          </w:p>
          <w:p w:rsidR="00480E16" w:rsidRDefault="00480E16" w:rsidP="00480E16">
            <w:pPr>
              <w:jc w:val="center"/>
            </w:pPr>
          </w:p>
        </w:tc>
        <w:tc>
          <w:tcPr>
            <w:tcW w:w="2849" w:type="dxa"/>
            <w:gridSpan w:val="5"/>
          </w:tcPr>
          <w:p w:rsidR="00246DD3" w:rsidRDefault="00246DD3" w:rsidP="00246DD3"/>
          <w:p w:rsidR="00CC6971" w:rsidRDefault="00890A45" w:rsidP="00246DD3">
            <w:hyperlink r:id="rId12" w:history="1">
              <w:r w:rsidR="00CC6971">
                <w:rPr>
                  <w:rStyle w:val="Hyperlink"/>
                  <w:rFonts w:ascii="Calibri" w:hAnsi="Calibri"/>
                </w:rPr>
                <w:t>rsulstarova@idmalbania.org</w:t>
              </w:r>
            </w:hyperlink>
          </w:p>
        </w:tc>
      </w:tr>
      <w:tr w:rsidR="00246DD3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246DD3" w:rsidRPr="00DA14AF" w:rsidRDefault="00246DD3" w:rsidP="00246DD3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Default="00246DD3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Ariola Agolli</w:t>
            </w:r>
          </w:p>
          <w:p w:rsidR="00246DD3" w:rsidRPr="00026B2B" w:rsidRDefault="00246DD3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246DD3" w:rsidRDefault="00246DD3" w:rsidP="00246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Pr="00153AA3" w:rsidRDefault="00246DD3" w:rsidP="00246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Partners</w:t>
            </w:r>
          </w:p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246DD3" w:rsidRDefault="00246DD3" w:rsidP="00246DD3"/>
          <w:p w:rsidR="00480E16" w:rsidRPr="00480E16" w:rsidRDefault="00480E16" w:rsidP="00246DD3">
            <w:r w:rsidRPr="00480E1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Drejtor Programi</w:t>
            </w:r>
          </w:p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246DD3" w:rsidRDefault="00890A45" w:rsidP="00246DD3">
            <w:hyperlink r:id="rId13" w:history="1">
              <w:r w:rsidR="00CC6971">
                <w:rPr>
                  <w:rStyle w:val="Hyperlink"/>
                  <w:rFonts w:ascii="Calibri" w:hAnsi="Calibri"/>
                </w:rPr>
                <w:t>aagolli@partnersalbania.org</w:t>
              </w:r>
            </w:hyperlink>
            <w:r w:rsidR="00CC6971">
              <w:rPr>
                <w:rFonts w:ascii="Calibri" w:hAnsi="Calibri"/>
              </w:rPr>
              <w:t>;</w:t>
            </w:r>
          </w:p>
        </w:tc>
      </w:tr>
      <w:tr w:rsidR="00246DD3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246DD3" w:rsidRPr="00DA14AF" w:rsidRDefault="00246DD3" w:rsidP="00246DD3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54" w:type="dxa"/>
            <w:gridSpan w:val="4"/>
          </w:tcPr>
          <w:p w:rsidR="00246DD3" w:rsidRDefault="008A1009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Rudina Shehu</w:t>
            </w:r>
          </w:p>
        </w:tc>
        <w:tc>
          <w:tcPr>
            <w:tcW w:w="2712" w:type="dxa"/>
            <w:gridSpan w:val="5"/>
          </w:tcPr>
          <w:p w:rsidR="00246DD3" w:rsidRDefault="00246DD3" w:rsidP="00246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3" w:rsidRDefault="00246DD3" w:rsidP="00246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KSHH</w:t>
            </w:r>
          </w:p>
          <w:p w:rsidR="00246DD3" w:rsidRDefault="00246DD3" w:rsidP="00246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4"/>
          </w:tcPr>
          <w:p w:rsidR="00246DD3" w:rsidRDefault="00246DD3" w:rsidP="00246DD3"/>
        </w:tc>
        <w:tc>
          <w:tcPr>
            <w:tcW w:w="2849" w:type="dxa"/>
            <w:gridSpan w:val="5"/>
          </w:tcPr>
          <w:p w:rsidR="00246DD3" w:rsidRDefault="00246DD3" w:rsidP="00246DD3"/>
          <w:p w:rsidR="00480E16" w:rsidRDefault="00890A45" w:rsidP="00480E16">
            <w:hyperlink r:id="rId14" w:history="1">
              <w:r w:rsidR="00480E16">
                <w:rPr>
                  <w:rStyle w:val="Hyperlink"/>
                  <w:rFonts w:ascii="Calibri" w:hAnsi="Calibri"/>
                </w:rPr>
                <w:t>office@ahc.org.al</w:t>
              </w:r>
            </w:hyperlink>
            <w:r w:rsidR="00480E16">
              <w:rPr>
                <w:rFonts w:ascii="Calibri" w:hAnsi="Calibri"/>
              </w:rPr>
              <w:t xml:space="preserve"> </w:t>
            </w:r>
          </w:p>
        </w:tc>
      </w:tr>
      <w:tr w:rsidR="0067513E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67513E" w:rsidRPr="00DA14AF" w:rsidRDefault="0067513E" w:rsidP="0067513E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67513E" w:rsidRDefault="0067513E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13E" w:rsidRPr="00E60B96" w:rsidRDefault="0067513E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Rovena Pregja</w:t>
            </w:r>
          </w:p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67513E" w:rsidRDefault="0067513E" w:rsidP="0067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13E" w:rsidRPr="00E60B96" w:rsidRDefault="0067513E" w:rsidP="0067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67513E" w:rsidRDefault="0067513E" w:rsidP="0067513E"/>
          <w:p w:rsidR="00E97C7C" w:rsidRPr="00E97C7C" w:rsidRDefault="00E97C7C" w:rsidP="00C6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7C">
              <w:rPr>
                <w:rFonts w:ascii="Times New Roman" w:hAnsi="Times New Roman" w:cs="Times New Roman"/>
                <w:sz w:val="24"/>
                <w:szCs w:val="24"/>
              </w:rPr>
              <w:t>Përgjegjës Sektori</w:t>
            </w:r>
          </w:p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67513E" w:rsidRDefault="0067513E" w:rsidP="0067513E"/>
          <w:p w:rsidR="00E97C7C" w:rsidRDefault="00890A45" w:rsidP="0067513E">
            <w:hyperlink r:id="rId15" w:history="1">
              <w:r w:rsidR="00E97C7C" w:rsidRPr="00550B70">
                <w:rPr>
                  <w:rStyle w:val="Hyperlink"/>
                </w:rPr>
                <w:t>Rovena.pregja@drejtesia.gov.al</w:t>
              </w:r>
            </w:hyperlink>
          </w:p>
          <w:p w:rsidR="00E97C7C" w:rsidRDefault="00E97C7C" w:rsidP="0067513E"/>
        </w:tc>
      </w:tr>
      <w:tr w:rsidR="0067513E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67513E" w:rsidRPr="00DA14AF" w:rsidRDefault="0067513E" w:rsidP="0067513E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54" w:type="dxa"/>
            <w:gridSpan w:val="4"/>
          </w:tcPr>
          <w:p w:rsidR="0067513E" w:rsidRDefault="0067513E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13E" w:rsidRPr="00E60B96" w:rsidRDefault="0067513E" w:rsidP="0067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Jona Karapinjalli</w:t>
            </w:r>
          </w:p>
        </w:tc>
        <w:tc>
          <w:tcPr>
            <w:tcW w:w="2712" w:type="dxa"/>
            <w:gridSpan w:val="5"/>
          </w:tcPr>
          <w:p w:rsidR="0067513E" w:rsidRDefault="0067513E" w:rsidP="0067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13E" w:rsidRPr="00E60B96" w:rsidRDefault="0067513E" w:rsidP="0067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575" w:type="dxa"/>
            <w:gridSpan w:val="4"/>
          </w:tcPr>
          <w:p w:rsidR="0067513E" w:rsidRDefault="0067513E" w:rsidP="00C658A2"/>
          <w:p w:rsidR="00E97C7C" w:rsidRPr="00E97C7C" w:rsidRDefault="00E97C7C" w:rsidP="00C6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7C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2849" w:type="dxa"/>
            <w:gridSpan w:val="5"/>
          </w:tcPr>
          <w:p w:rsidR="0067513E" w:rsidRDefault="00890A45" w:rsidP="0067513E">
            <w:hyperlink r:id="rId16" w:history="1">
              <w:r w:rsidR="00E97C7C" w:rsidRPr="00550B70">
                <w:rPr>
                  <w:rStyle w:val="Hyperlink"/>
                </w:rPr>
                <w:t>Jona.karapinjalli@drejtesia.gov.al</w:t>
              </w:r>
            </w:hyperlink>
          </w:p>
          <w:p w:rsidR="00E97C7C" w:rsidRDefault="00E97C7C" w:rsidP="0067513E"/>
        </w:tc>
      </w:tr>
      <w:tr w:rsidR="00E97C7C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E97C7C" w:rsidRPr="00DA14AF" w:rsidRDefault="00E97C7C" w:rsidP="00E97C7C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E97C7C" w:rsidRDefault="00E97C7C" w:rsidP="00E97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7C" w:rsidRPr="00E60B96" w:rsidRDefault="00E97C7C" w:rsidP="00E97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Arbër Sanxhaku</w:t>
            </w:r>
          </w:p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E97C7C" w:rsidRDefault="00E97C7C" w:rsidP="00E97C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7C" w:rsidRPr="00E60B96" w:rsidRDefault="00E97C7C" w:rsidP="00E97C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E97C7C" w:rsidRDefault="00E97C7C" w:rsidP="00C6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97C7C" w:rsidRDefault="00E97C7C" w:rsidP="00C658A2">
            <w:r w:rsidRPr="00C1760A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E97C7C" w:rsidRDefault="00E97C7C" w:rsidP="00E97C7C"/>
          <w:p w:rsidR="00E97C7C" w:rsidRDefault="00890A45" w:rsidP="00E97C7C">
            <w:hyperlink r:id="rId17" w:history="1">
              <w:r w:rsidR="00E97C7C" w:rsidRPr="00550B70">
                <w:rPr>
                  <w:rStyle w:val="Hyperlink"/>
                </w:rPr>
                <w:t>Arber.sanxhaku@drejtesia.gov.al</w:t>
              </w:r>
            </w:hyperlink>
          </w:p>
          <w:p w:rsidR="00E97C7C" w:rsidRDefault="00E97C7C" w:rsidP="00E97C7C"/>
        </w:tc>
      </w:tr>
      <w:tr w:rsidR="00E97C7C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E97C7C" w:rsidRPr="00DA14AF" w:rsidRDefault="00E97C7C" w:rsidP="00E97C7C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54" w:type="dxa"/>
            <w:gridSpan w:val="4"/>
          </w:tcPr>
          <w:p w:rsidR="00E97C7C" w:rsidRPr="00E36BBF" w:rsidRDefault="00E97C7C" w:rsidP="00E97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7C" w:rsidRPr="00E36BBF" w:rsidRDefault="00E97C7C" w:rsidP="00E97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Anisa Xake</w:t>
            </w:r>
          </w:p>
        </w:tc>
        <w:tc>
          <w:tcPr>
            <w:tcW w:w="2712" w:type="dxa"/>
            <w:gridSpan w:val="5"/>
          </w:tcPr>
          <w:p w:rsidR="00E97C7C" w:rsidRPr="00E36BBF" w:rsidRDefault="00E97C7C" w:rsidP="00E97C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7C" w:rsidRPr="00E36BBF" w:rsidRDefault="00E97C7C" w:rsidP="00E97C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575" w:type="dxa"/>
            <w:gridSpan w:val="4"/>
          </w:tcPr>
          <w:p w:rsidR="00E97C7C" w:rsidRDefault="00E97C7C" w:rsidP="00C6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7C" w:rsidRDefault="00E97C7C" w:rsidP="00C658A2">
            <w:r w:rsidRPr="00C1760A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2849" w:type="dxa"/>
            <w:gridSpan w:val="5"/>
          </w:tcPr>
          <w:p w:rsidR="00E97C7C" w:rsidRDefault="00E97C7C" w:rsidP="00E97C7C"/>
          <w:p w:rsidR="00E97C7C" w:rsidRDefault="00890A45" w:rsidP="00E97C7C">
            <w:hyperlink r:id="rId18" w:history="1">
              <w:r w:rsidR="00E97C7C" w:rsidRPr="00550B70">
                <w:rPr>
                  <w:rStyle w:val="Hyperlink"/>
                </w:rPr>
                <w:t>Anisa.xake@drejtesia.gov.al</w:t>
              </w:r>
            </w:hyperlink>
          </w:p>
          <w:p w:rsidR="00E97C7C" w:rsidRDefault="00E97C7C" w:rsidP="00E97C7C"/>
        </w:tc>
      </w:tr>
      <w:tr w:rsidR="0067513E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67513E" w:rsidRPr="00DA14AF" w:rsidRDefault="0067513E" w:rsidP="0067513E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67513E" w:rsidRDefault="0067513E" w:rsidP="0067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13E" w:rsidRPr="00E36BBF" w:rsidRDefault="0067513E" w:rsidP="00602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Courtney McLaren</w:t>
            </w:r>
          </w:p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67513E" w:rsidRDefault="0067513E" w:rsidP="0067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13E" w:rsidRPr="00E36BBF" w:rsidRDefault="0067513E" w:rsidP="0067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OGP Canada</w:t>
            </w:r>
          </w:p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67513E" w:rsidRDefault="0067513E" w:rsidP="0067513E"/>
          <w:p w:rsidR="00C658A2" w:rsidRPr="00C658A2" w:rsidRDefault="00C658A2" w:rsidP="0067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A2">
              <w:rPr>
                <w:rFonts w:ascii="Times New Roman" w:hAnsi="Times New Roman" w:cs="Times New Roman"/>
                <w:sz w:val="24"/>
                <w:szCs w:val="24"/>
              </w:rPr>
              <w:t>Ekspert OGP</w:t>
            </w:r>
          </w:p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67513E" w:rsidRDefault="00890A45" w:rsidP="0067513E">
            <w:hyperlink r:id="rId19" w:history="1">
              <w:r w:rsidR="00E97C7C" w:rsidRPr="00550B70">
                <w:rPr>
                  <w:rStyle w:val="Hyperlink"/>
                </w:rPr>
                <w:t>Courtney.MCLaren@kryeministria.al</w:t>
              </w:r>
            </w:hyperlink>
          </w:p>
          <w:p w:rsidR="00E97C7C" w:rsidRDefault="00E97C7C" w:rsidP="0067513E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54" w:type="dxa"/>
            <w:gridSpan w:val="4"/>
          </w:tcPr>
          <w:p w:rsidR="003C7A5A" w:rsidRDefault="003C7A5A" w:rsidP="00F97D1B"/>
          <w:p w:rsidR="00AB72DE" w:rsidRDefault="00AB72DE" w:rsidP="00F97D1B"/>
        </w:tc>
        <w:tc>
          <w:tcPr>
            <w:tcW w:w="2712" w:type="dxa"/>
            <w:gridSpan w:val="5"/>
          </w:tcPr>
          <w:p w:rsidR="003C7A5A" w:rsidRDefault="00AB72DE" w:rsidP="00AB72DE">
            <w:r>
              <w:t xml:space="preserve"> </w:t>
            </w:r>
          </w:p>
        </w:tc>
        <w:tc>
          <w:tcPr>
            <w:tcW w:w="2575" w:type="dxa"/>
            <w:gridSpan w:val="4"/>
          </w:tcPr>
          <w:p w:rsidR="003C7A5A" w:rsidRDefault="003C7A5A" w:rsidP="00F97D1B"/>
        </w:tc>
        <w:tc>
          <w:tcPr>
            <w:tcW w:w="2849" w:type="dxa"/>
            <w:gridSpan w:val="5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54" w:type="dxa"/>
            <w:gridSpan w:val="4"/>
          </w:tcPr>
          <w:p w:rsidR="003C7A5A" w:rsidRDefault="003C7A5A" w:rsidP="00F97D1B"/>
        </w:tc>
        <w:tc>
          <w:tcPr>
            <w:tcW w:w="2712" w:type="dxa"/>
            <w:gridSpan w:val="5"/>
          </w:tcPr>
          <w:p w:rsidR="003C7A5A" w:rsidRDefault="003C7A5A" w:rsidP="00F97D1B"/>
        </w:tc>
        <w:tc>
          <w:tcPr>
            <w:tcW w:w="2575" w:type="dxa"/>
            <w:gridSpan w:val="4"/>
          </w:tcPr>
          <w:p w:rsidR="003C7A5A" w:rsidRDefault="003C7A5A" w:rsidP="00F97D1B"/>
        </w:tc>
        <w:tc>
          <w:tcPr>
            <w:tcW w:w="2849" w:type="dxa"/>
            <w:gridSpan w:val="5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54" w:type="dxa"/>
            <w:gridSpan w:val="4"/>
          </w:tcPr>
          <w:p w:rsidR="003C7A5A" w:rsidRDefault="003C7A5A" w:rsidP="00F97D1B"/>
        </w:tc>
        <w:tc>
          <w:tcPr>
            <w:tcW w:w="2712" w:type="dxa"/>
            <w:gridSpan w:val="5"/>
          </w:tcPr>
          <w:p w:rsidR="003C7A5A" w:rsidRDefault="003C7A5A" w:rsidP="00F97D1B"/>
        </w:tc>
        <w:tc>
          <w:tcPr>
            <w:tcW w:w="2575" w:type="dxa"/>
            <w:gridSpan w:val="4"/>
          </w:tcPr>
          <w:p w:rsidR="003C7A5A" w:rsidRDefault="003C7A5A" w:rsidP="00F97D1B"/>
        </w:tc>
        <w:tc>
          <w:tcPr>
            <w:tcW w:w="2849" w:type="dxa"/>
            <w:gridSpan w:val="5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54" w:type="dxa"/>
            <w:gridSpan w:val="4"/>
          </w:tcPr>
          <w:p w:rsidR="003C7A5A" w:rsidRDefault="003C7A5A" w:rsidP="00F97D1B"/>
        </w:tc>
        <w:tc>
          <w:tcPr>
            <w:tcW w:w="2712" w:type="dxa"/>
            <w:gridSpan w:val="5"/>
          </w:tcPr>
          <w:p w:rsidR="003C7A5A" w:rsidRDefault="003C7A5A" w:rsidP="00F97D1B"/>
        </w:tc>
        <w:tc>
          <w:tcPr>
            <w:tcW w:w="2575" w:type="dxa"/>
            <w:gridSpan w:val="4"/>
          </w:tcPr>
          <w:p w:rsidR="003C7A5A" w:rsidRDefault="003C7A5A" w:rsidP="00F97D1B"/>
        </w:tc>
        <w:tc>
          <w:tcPr>
            <w:tcW w:w="2849" w:type="dxa"/>
            <w:gridSpan w:val="5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54" w:type="dxa"/>
            <w:gridSpan w:val="4"/>
          </w:tcPr>
          <w:p w:rsidR="003C7A5A" w:rsidRDefault="003C7A5A" w:rsidP="00F97D1B"/>
        </w:tc>
        <w:tc>
          <w:tcPr>
            <w:tcW w:w="2712" w:type="dxa"/>
            <w:gridSpan w:val="5"/>
          </w:tcPr>
          <w:p w:rsidR="003C7A5A" w:rsidRDefault="003C7A5A" w:rsidP="00F97D1B"/>
        </w:tc>
        <w:tc>
          <w:tcPr>
            <w:tcW w:w="2575" w:type="dxa"/>
            <w:gridSpan w:val="4"/>
          </w:tcPr>
          <w:p w:rsidR="003C7A5A" w:rsidRDefault="003C7A5A" w:rsidP="00F97D1B"/>
        </w:tc>
        <w:tc>
          <w:tcPr>
            <w:tcW w:w="2849" w:type="dxa"/>
            <w:gridSpan w:val="5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54" w:type="dxa"/>
            <w:gridSpan w:val="4"/>
          </w:tcPr>
          <w:p w:rsidR="003C7A5A" w:rsidRDefault="003C7A5A" w:rsidP="00F97D1B"/>
        </w:tc>
        <w:tc>
          <w:tcPr>
            <w:tcW w:w="2712" w:type="dxa"/>
            <w:gridSpan w:val="5"/>
          </w:tcPr>
          <w:p w:rsidR="003C7A5A" w:rsidRDefault="003C7A5A" w:rsidP="00F97D1B"/>
        </w:tc>
        <w:tc>
          <w:tcPr>
            <w:tcW w:w="2575" w:type="dxa"/>
            <w:gridSpan w:val="4"/>
          </w:tcPr>
          <w:p w:rsidR="003C7A5A" w:rsidRDefault="003C7A5A" w:rsidP="00F97D1B"/>
        </w:tc>
        <w:tc>
          <w:tcPr>
            <w:tcW w:w="2849" w:type="dxa"/>
            <w:gridSpan w:val="5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54" w:type="dxa"/>
            <w:gridSpan w:val="4"/>
          </w:tcPr>
          <w:p w:rsidR="003C7A5A" w:rsidRDefault="003C7A5A" w:rsidP="00F97D1B"/>
        </w:tc>
        <w:tc>
          <w:tcPr>
            <w:tcW w:w="2712" w:type="dxa"/>
            <w:gridSpan w:val="5"/>
          </w:tcPr>
          <w:p w:rsidR="003C7A5A" w:rsidRDefault="003C7A5A" w:rsidP="00F97D1B"/>
        </w:tc>
        <w:tc>
          <w:tcPr>
            <w:tcW w:w="2575" w:type="dxa"/>
            <w:gridSpan w:val="4"/>
          </w:tcPr>
          <w:p w:rsidR="003C7A5A" w:rsidRDefault="003C7A5A" w:rsidP="00F97D1B"/>
        </w:tc>
        <w:tc>
          <w:tcPr>
            <w:tcW w:w="2849" w:type="dxa"/>
            <w:gridSpan w:val="5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54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712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575" w:type="dxa"/>
            <w:gridSpan w:val="4"/>
            <w:shd w:val="clear" w:color="auto" w:fill="DBE5F1" w:themeFill="accent1" w:themeFillTint="33"/>
          </w:tcPr>
          <w:p w:rsidR="003C7A5A" w:rsidRDefault="003C7A5A" w:rsidP="00F97D1B"/>
        </w:tc>
        <w:tc>
          <w:tcPr>
            <w:tcW w:w="2849" w:type="dxa"/>
            <w:gridSpan w:val="5"/>
            <w:shd w:val="clear" w:color="auto" w:fill="DBE5F1" w:themeFill="accent1" w:themeFillTint="33"/>
          </w:tcPr>
          <w:p w:rsidR="003C7A5A" w:rsidRDefault="003C7A5A" w:rsidP="00F97D1B"/>
        </w:tc>
      </w:tr>
      <w:tr w:rsidR="003C7A5A" w:rsidTr="00C658A2">
        <w:trPr>
          <w:gridBefore w:val="1"/>
          <w:wBefore w:w="142" w:type="dxa"/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F97D1B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54" w:type="dxa"/>
            <w:gridSpan w:val="4"/>
          </w:tcPr>
          <w:p w:rsidR="003C7A5A" w:rsidRDefault="003C7A5A" w:rsidP="00F97D1B"/>
        </w:tc>
        <w:tc>
          <w:tcPr>
            <w:tcW w:w="2712" w:type="dxa"/>
            <w:gridSpan w:val="5"/>
          </w:tcPr>
          <w:p w:rsidR="003C7A5A" w:rsidRDefault="003C7A5A" w:rsidP="00F97D1B"/>
        </w:tc>
        <w:tc>
          <w:tcPr>
            <w:tcW w:w="2575" w:type="dxa"/>
            <w:gridSpan w:val="4"/>
          </w:tcPr>
          <w:p w:rsidR="003C7A5A" w:rsidRDefault="003C7A5A" w:rsidP="00F97D1B"/>
        </w:tc>
        <w:tc>
          <w:tcPr>
            <w:tcW w:w="2849" w:type="dxa"/>
            <w:gridSpan w:val="5"/>
          </w:tcPr>
          <w:p w:rsidR="003C7A5A" w:rsidRDefault="003C7A5A" w:rsidP="00F97D1B"/>
        </w:tc>
      </w:tr>
    </w:tbl>
    <w:p w:rsidR="003C7A5A" w:rsidRDefault="003C7A5A" w:rsidP="003C7A5A">
      <w:pPr>
        <w:shd w:val="clear" w:color="auto" w:fill="FFFFFF" w:themeFill="background1"/>
        <w:ind w:right="-1180"/>
      </w:pPr>
    </w:p>
    <w:p w:rsidR="00AB72DE" w:rsidRDefault="00AB72DE" w:rsidP="003C7A5A">
      <w:pPr>
        <w:shd w:val="clear" w:color="auto" w:fill="FFFFFF" w:themeFill="background1"/>
        <w:ind w:right="-1180"/>
      </w:pPr>
    </w:p>
    <w:p w:rsidR="00AB72DE" w:rsidRDefault="00AB72DE" w:rsidP="003C7A5A">
      <w:pPr>
        <w:shd w:val="clear" w:color="auto" w:fill="FFFFFF" w:themeFill="background1"/>
        <w:ind w:right="-1180"/>
      </w:pPr>
    </w:p>
    <w:p w:rsidR="00AB72DE" w:rsidRDefault="00AB72DE" w:rsidP="003C7A5A">
      <w:pPr>
        <w:shd w:val="clear" w:color="auto" w:fill="FFFFFF" w:themeFill="background1"/>
        <w:ind w:right="-1180"/>
      </w:pPr>
    </w:p>
    <w:p w:rsidR="00AB72DE" w:rsidRDefault="00AB72DE" w:rsidP="003C7A5A">
      <w:pPr>
        <w:shd w:val="clear" w:color="auto" w:fill="FFFFFF" w:themeFill="background1"/>
        <w:ind w:right="-1180"/>
      </w:pPr>
    </w:p>
    <w:p w:rsidR="00AB72DE" w:rsidRDefault="00AB72DE" w:rsidP="003C7A5A">
      <w:pPr>
        <w:shd w:val="clear" w:color="auto" w:fill="FFFFFF" w:themeFill="background1"/>
        <w:ind w:right="-1180"/>
      </w:pPr>
    </w:p>
    <w:p w:rsidR="00AB72DE" w:rsidRDefault="00AB72DE" w:rsidP="003C7A5A">
      <w:pPr>
        <w:shd w:val="clear" w:color="auto" w:fill="FFFFFF" w:themeFill="background1"/>
        <w:ind w:right="-1180"/>
      </w:pPr>
    </w:p>
    <w:p w:rsidR="00AB72DE" w:rsidRDefault="00AB72DE" w:rsidP="003C7A5A">
      <w:pPr>
        <w:shd w:val="clear" w:color="auto" w:fill="FFFFFF" w:themeFill="background1"/>
        <w:ind w:right="-1180"/>
      </w:pPr>
    </w:p>
    <w:p w:rsidR="00AB72DE" w:rsidRDefault="00AB72DE" w:rsidP="00AB72DE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Galeria e Fotove</w:t>
      </w:r>
    </w:p>
    <w:p w:rsidR="00AB72DE" w:rsidRDefault="00AB72DE" w:rsidP="00AB72DE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B72DE" w:rsidRPr="00E60B96" w:rsidRDefault="00AB72DE" w:rsidP="00AB72DE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1C0FBC7" wp14:editId="5387C9BF">
            <wp:extent cx="6219825" cy="4772025"/>
            <wp:effectExtent l="0" t="0" r="9525" b="9525"/>
            <wp:docPr id="4" name="Picture 4" descr="C:\Users\jona.karapinjalli\AppData\Local\Microsoft\Windows\INetCache\Content.Word\fotografi O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.karapinjalli\AppData\Local\Microsoft\Windows\INetCache\Content.Word\fotografi OG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DE" w:rsidRDefault="00AB72DE" w:rsidP="00AB72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2DE" w:rsidRPr="00377CCB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 w:rsidRPr="00377CCB">
        <w:rPr>
          <w:rFonts w:ascii="Times New Roman" w:hAnsi="Times New Roman" w:cs="Times New Roman"/>
          <w:sz w:val="24"/>
          <w:szCs w:val="24"/>
        </w:rPr>
        <w:t>Draft Plani I Veprimit OGP 2020-2022, Komponenti IV, Objektivi Specifik “Planet e Integritetit”.</w:t>
      </w:r>
    </w:p>
    <w:p w:rsidR="00AB72DE" w:rsidRDefault="00AB72DE" w:rsidP="00AB72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B539708" wp14:editId="70D5BDEF">
            <wp:extent cx="5943600" cy="5676900"/>
            <wp:effectExtent l="0" t="0" r="0" b="0"/>
            <wp:docPr id="6" name="Picture 6" descr="C:\Users\jona.karapinjalli\AppData\Local\Microsoft\Windows\INetCache\Content.Outlook\DUQVR5LN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a.karapinjalli\AppData\Local\Microsoft\Windows\INetCache\Content.Outlook\DUQVR5LN\foto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Takimi I Dytë Konsultativ PV OGP 2020-2022 Komponenti Antikorrupsioni/Planet e Integritetit</w:t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 w:rsidRPr="00377CCB">
        <w:rPr>
          <w:rFonts w:ascii="Times New Roman" w:hAnsi="Times New Roman" w:cs="Times New Roman"/>
          <w:sz w:val="24"/>
          <w:szCs w:val="24"/>
        </w:rPr>
        <w:t>Znj. Rovena Pregja, MD</w:t>
      </w:r>
    </w:p>
    <w:p w:rsidR="00AB72DE" w:rsidRPr="00377CCB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 Jona Karapinjalli, MD</w:t>
      </w:r>
    </w:p>
    <w:p w:rsidR="00AB72DE" w:rsidRDefault="00AB72DE" w:rsidP="00AB72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52E46439" wp14:editId="1EE5B5DA">
            <wp:extent cx="5943600" cy="3343275"/>
            <wp:effectExtent l="0" t="0" r="0" b="9525"/>
            <wp:docPr id="7" name="Picture 7" descr="C:\Users\jona.karapinjalli\AppData\Local\Microsoft\Windows\INetCache\Content.Word\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a.karapinjalli\AppData\Local\Microsoft\Windows\INetCache\Content.Word\foto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DE" w:rsidRPr="00C05F5A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 w:rsidRPr="00C05F5A">
        <w:rPr>
          <w:rFonts w:ascii="Times New Roman" w:hAnsi="Times New Roman" w:cs="Times New Roman"/>
          <w:sz w:val="24"/>
          <w:szCs w:val="24"/>
        </w:rPr>
        <w:t>Znj. Rovena Sulstarova, IDM</w:t>
      </w:r>
    </w:p>
    <w:p w:rsidR="00AB72DE" w:rsidRDefault="00AB72DE" w:rsidP="00AB72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D7E292F" wp14:editId="1BFEEABC">
            <wp:extent cx="5943600" cy="3343275"/>
            <wp:effectExtent l="0" t="0" r="0" b="9525"/>
            <wp:docPr id="8" name="Picture 8" descr="C:\Users\jona.karapinjalli\AppData\Local\Microsoft\Windows\INetCache\Content.Outlook\DUQVR5LN\f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a.karapinjalli\AppData\Local\Microsoft\Windows\INetCache\Content.Outlook\DUQVR5LN\foto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 Ariola Agolli, Partners</w:t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 w:rsidRPr="00C05F5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D7FEF1D" wp14:editId="5004E395">
            <wp:extent cx="5943600" cy="3343275"/>
            <wp:effectExtent l="0" t="0" r="0" b="9525"/>
            <wp:docPr id="9" name="Picture 9" descr="C:\Users\jona.karapinjalli\AppData\Local\Microsoft\Windows\INetCache\Content.Outlook\DUQVR5LN\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na.karapinjalli\AppData\Local\Microsoft\Windows\INetCache\Content.Outlook\DUQVR5LN\foto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Takimi I Dytë Konsultativ PV OGP 2020-2022 Komponenti Antikorrupsioni/Planet e Integritetit</w:t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 w:rsidRPr="00C05F5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9B9FDF" wp14:editId="7B51188E">
            <wp:extent cx="5943600" cy="3343275"/>
            <wp:effectExtent l="0" t="0" r="0" b="9525"/>
            <wp:docPr id="10" name="Picture 10" descr="C:\Users\jona.karapinjalli\AppData\Local\Microsoft\Windows\INetCache\Content.Outlook\DUQVR5LN\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a.karapinjalli\AppData\Local\Microsoft\Windows\INetCache\Content.Outlook\DUQVR5LN\foto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Zef Preçi, Qendra Shqiptare për Kërkime Ekonomike (ACER)</w:t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BF7540E" wp14:editId="1A6076A1">
            <wp:extent cx="5943600" cy="4181475"/>
            <wp:effectExtent l="0" t="0" r="0" b="9525"/>
            <wp:docPr id="13" name="Picture 13" descr="C:\Users\jona.karapinjalli\AppData\Local\Microsoft\Windows\INetCache\Content.Word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na.karapinjalli\AppData\Local\Microsoft\Windows\INetCache\Content.Word\foto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Takimi I Dytë Konsultativ PV OGP 2020-2022 Komponenti Antikorrupsioni/Planet e Integritetit</w:t>
      </w:r>
    </w:p>
    <w:p w:rsidR="00AB72DE" w:rsidRPr="00C05F5A" w:rsidRDefault="00AB72DE" w:rsidP="00AB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DE" w:rsidRDefault="00AB72DE" w:rsidP="003C7A5A">
      <w:pPr>
        <w:shd w:val="clear" w:color="auto" w:fill="FFFFFF" w:themeFill="background1"/>
        <w:ind w:right="-1180"/>
      </w:pPr>
    </w:p>
    <w:sectPr w:rsidR="00AB72DE" w:rsidSect="003C7A5A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354"/>
      </v:shape>
    </w:pict>
  </w:numPicBullet>
  <w:abstractNum w:abstractNumId="0">
    <w:nsid w:val="029D7F4A"/>
    <w:multiLevelType w:val="multilevel"/>
    <w:tmpl w:val="1BDC4C52"/>
    <w:lvl w:ilvl="0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684756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3F93"/>
    <w:multiLevelType w:val="hybridMultilevel"/>
    <w:tmpl w:val="5E5EC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B66F2"/>
    <w:multiLevelType w:val="hybridMultilevel"/>
    <w:tmpl w:val="52585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D5807"/>
    <w:multiLevelType w:val="hybridMultilevel"/>
    <w:tmpl w:val="D8EC7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50AC8"/>
    <w:multiLevelType w:val="hybridMultilevel"/>
    <w:tmpl w:val="B0CC3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B55C0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359FD"/>
    <w:multiLevelType w:val="hybridMultilevel"/>
    <w:tmpl w:val="2F9CD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1109E"/>
    <w:multiLevelType w:val="hybridMultilevel"/>
    <w:tmpl w:val="6AE070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641C5"/>
    <w:multiLevelType w:val="hybridMultilevel"/>
    <w:tmpl w:val="D38406EE"/>
    <w:lvl w:ilvl="0" w:tplc="3496E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26FE8"/>
    <w:multiLevelType w:val="hybridMultilevel"/>
    <w:tmpl w:val="4E56A7F6"/>
    <w:lvl w:ilvl="0" w:tplc="52BA1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4959"/>
    <w:multiLevelType w:val="hybridMultilevel"/>
    <w:tmpl w:val="4EEAD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F3099"/>
    <w:multiLevelType w:val="hybridMultilevel"/>
    <w:tmpl w:val="4B3CC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C2544"/>
    <w:multiLevelType w:val="hybridMultilevel"/>
    <w:tmpl w:val="A374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D338B"/>
    <w:multiLevelType w:val="hybridMultilevel"/>
    <w:tmpl w:val="131EC7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2039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3"/>
    <w:rsid w:val="000125EA"/>
    <w:rsid w:val="00016CD6"/>
    <w:rsid w:val="00072826"/>
    <w:rsid w:val="000764D5"/>
    <w:rsid w:val="00085974"/>
    <w:rsid w:val="000A28F8"/>
    <w:rsid w:val="000A3489"/>
    <w:rsid w:val="000B3135"/>
    <w:rsid w:val="000B3142"/>
    <w:rsid w:val="000E2FFA"/>
    <w:rsid w:val="000F6AC9"/>
    <w:rsid w:val="001E7C51"/>
    <w:rsid w:val="00214660"/>
    <w:rsid w:val="00226A0C"/>
    <w:rsid w:val="00232801"/>
    <w:rsid w:val="00246DD3"/>
    <w:rsid w:val="002906B7"/>
    <w:rsid w:val="002A252F"/>
    <w:rsid w:val="002A5534"/>
    <w:rsid w:val="002A58D3"/>
    <w:rsid w:val="003C7A5A"/>
    <w:rsid w:val="00480E16"/>
    <w:rsid w:val="00492C25"/>
    <w:rsid w:val="004D22F3"/>
    <w:rsid w:val="004D3417"/>
    <w:rsid w:val="00563BFE"/>
    <w:rsid w:val="005839D5"/>
    <w:rsid w:val="005C41A7"/>
    <w:rsid w:val="005D078E"/>
    <w:rsid w:val="006028E2"/>
    <w:rsid w:val="0067513E"/>
    <w:rsid w:val="00675353"/>
    <w:rsid w:val="006D711A"/>
    <w:rsid w:val="0072418C"/>
    <w:rsid w:val="0078096C"/>
    <w:rsid w:val="007A283B"/>
    <w:rsid w:val="007E1349"/>
    <w:rsid w:val="007F1E27"/>
    <w:rsid w:val="00890A45"/>
    <w:rsid w:val="008A1009"/>
    <w:rsid w:val="008E3B17"/>
    <w:rsid w:val="00973735"/>
    <w:rsid w:val="00AB4D6E"/>
    <w:rsid w:val="00AB72DE"/>
    <w:rsid w:val="00AE1051"/>
    <w:rsid w:val="00AE5766"/>
    <w:rsid w:val="00B873BF"/>
    <w:rsid w:val="00B927E2"/>
    <w:rsid w:val="00BF0388"/>
    <w:rsid w:val="00C22E25"/>
    <w:rsid w:val="00C658A2"/>
    <w:rsid w:val="00CC6971"/>
    <w:rsid w:val="00CE7542"/>
    <w:rsid w:val="00D17CF3"/>
    <w:rsid w:val="00D511BF"/>
    <w:rsid w:val="00D6280C"/>
    <w:rsid w:val="00DD11BA"/>
    <w:rsid w:val="00DE1380"/>
    <w:rsid w:val="00E07BA6"/>
    <w:rsid w:val="00E748E4"/>
    <w:rsid w:val="00E97C7C"/>
    <w:rsid w:val="00EB277F"/>
    <w:rsid w:val="00EC36BD"/>
    <w:rsid w:val="00F50B8E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DDA28-9975-4C87-8813-0DE1618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07BA6"/>
    <w:pPr>
      <w:widowControl w:val="0"/>
      <w:autoSpaceDE w:val="0"/>
      <w:autoSpaceDN w:val="0"/>
      <w:spacing w:before="276" w:after="0" w:line="240" w:lineRule="auto"/>
      <w:ind w:left="345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1349"/>
    <w:pPr>
      <w:widowControl w:val="0"/>
      <w:autoSpaceDE w:val="0"/>
      <w:autoSpaceDN w:val="0"/>
      <w:spacing w:after="0" w:line="240" w:lineRule="auto"/>
      <w:ind w:left="2161" w:hanging="361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7E1349"/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7E1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07BA6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07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7BA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malbania.org/" TargetMode="External"/><Relationship Id="rId13" Type="http://schemas.openxmlformats.org/officeDocument/2006/relationships/hyperlink" Target="mailto:aagolli@partnersalbania.org" TargetMode="External"/><Relationship Id="rId18" Type="http://schemas.openxmlformats.org/officeDocument/2006/relationships/hyperlink" Target="mailto:Anisa.xake@drejtesia.gov.al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://www.drejtesia.gov.al/newsroom/lajme/ministria-e-drejtesise-koordinatori-kombetar-kunder-korrupsionit-forcon-bashkepunimin-me-oshc-ne-hartimin-e-akteve-te-kuadrit-strategjik-politikeberes/" TargetMode="External"/><Relationship Id="rId12" Type="http://schemas.openxmlformats.org/officeDocument/2006/relationships/hyperlink" Target="mailto:rsulstarova@idmalbania.org" TargetMode="External"/><Relationship Id="rId17" Type="http://schemas.openxmlformats.org/officeDocument/2006/relationships/hyperlink" Target="mailto:Arber.sanxhaku@drejtesia.gov.al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Jona.karapinjalli@drejtesia.gov.al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zpreci@icc-al.org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Rovena.pregja@drejtesia.gov.al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mailto:info@icc-albania.org.al" TargetMode="External"/><Relationship Id="rId19" Type="http://schemas.openxmlformats.org/officeDocument/2006/relationships/hyperlink" Target="mailto:Courtney.MCLaren@kryeministria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ild.tepelija@cdinstitute.edu" TargetMode="External"/><Relationship Id="rId14" Type="http://schemas.openxmlformats.org/officeDocument/2006/relationships/hyperlink" Target="mailto:office@ahc.org.al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4AAE-20B6-4E02-AA0D-BBD4FACF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McLaren</dc:creator>
  <cp:lastModifiedBy>Rovena Pregja</cp:lastModifiedBy>
  <cp:revision>11</cp:revision>
  <dcterms:created xsi:type="dcterms:W3CDTF">2020-10-21T13:35:00Z</dcterms:created>
  <dcterms:modified xsi:type="dcterms:W3CDTF">2020-11-06T13:19:00Z</dcterms:modified>
</cp:coreProperties>
</file>