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05" w:rsidRPr="001F29E7" w:rsidRDefault="00866405" w:rsidP="001F29E7">
      <w:pPr>
        <w:jc w:val="center"/>
        <w:rPr>
          <w:rFonts w:ascii="Times New Roman" w:hAnsi="Times New Roman"/>
          <w:sz w:val="32"/>
          <w:szCs w:val="32"/>
        </w:rPr>
      </w:pPr>
      <w:bookmarkStart w:id="0" w:name="_GoBack"/>
      <w:bookmarkEnd w:id="0"/>
      <w:r w:rsidRPr="001F29E7">
        <w:rPr>
          <w:rFonts w:ascii="Times New Roman" w:hAnsi="Times New Roman"/>
          <w:noProof/>
        </w:rPr>
        <w:drawing>
          <wp:inline distT="0" distB="0" distL="0" distR="0" wp14:anchorId="3D421150" wp14:editId="2A9EED20">
            <wp:extent cx="5219700" cy="1219200"/>
            <wp:effectExtent l="0" t="0" r="0" b="0"/>
            <wp:docPr id="1" name="Picture 1" descr="cid:image001.png@01D3B20E.D58CD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20E.D58CD82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22834"/>
                    <a:stretch/>
                  </pic:blipFill>
                  <pic:spPr bwMode="auto">
                    <a:xfrm>
                      <a:off x="0" y="0"/>
                      <a:ext cx="5219700" cy="1219200"/>
                    </a:xfrm>
                    <a:prstGeom prst="rect">
                      <a:avLst/>
                    </a:prstGeom>
                    <a:noFill/>
                    <a:ln>
                      <a:noFill/>
                    </a:ln>
                    <a:extLst>
                      <a:ext uri="{53640926-AAD7-44D8-BBD7-CCE9431645EC}">
                        <a14:shadowObscured xmlns:a14="http://schemas.microsoft.com/office/drawing/2010/main"/>
                      </a:ext>
                    </a:extLst>
                  </pic:spPr>
                </pic:pic>
              </a:graphicData>
            </a:graphic>
          </wp:inline>
        </w:drawing>
      </w:r>
    </w:p>
    <w:p w:rsidR="00866405" w:rsidRPr="001F29E7" w:rsidRDefault="00866405" w:rsidP="00011E63">
      <w:pPr>
        <w:jc w:val="both"/>
        <w:rPr>
          <w:rFonts w:ascii="Times New Roman" w:hAnsi="Times New Roman"/>
          <w:sz w:val="32"/>
          <w:szCs w:val="32"/>
        </w:rPr>
      </w:pPr>
    </w:p>
    <w:p w:rsidR="009A5F7C" w:rsidRPr="001F29E7" w:rsidRDefault="009A5F7C" w:rsidP="00011E63">
      <w:pPr>
        <w:jc w:val="center"/>
        <w:rPr>
          <w:rFonts w:ascii="Times New Roman" w:hAnsi="Times New Roman"/>
          <w:sz w:val="32"/>
          <w:szCs w:val="32"/>
        </w:rPr>
      </w:pPr>
      <w:r w:rsidRPr="001F29E7">
        <w:rPr>
          <w:rFonts w:ascii="Times New Roman" w:hAnsi="Times New Roman"/>
          <w:sz w:val="32"/>
          <w:szCs w:val="32"/>
        </w:rPr>
        <w:t>Ministry of Finance and Economy</w:t>
      </w:r>
    </w:p>
    <w:p w:rsidR="009A5F7C" w:rsidRPr="001F29E7" w:rsidRDefault="009A5F7C" w:rsidP="00011E63">
      <w:pPr>
        <w:jc w:val="center"/>
        <w:rPr>
          <w:rFonts w:ascii="Times New Roman" w:hAnsi="Times New Roman"/>
          <w:sz w:val="32"/>
          <w:szCs w:val="32"/>
        </w:rPr>
      </w:pPr>
      <w:r w:rsidRPr="001F29E7">
        <w:rPr>
          <w:rFonts w:ascii="Times New Roman" w:hAnsi="Times New Roman"/>
          <w:sz w:val="32"/>
          <w:szCs w:val="32"/>
        </w:rPr>
        <w:t>Government of Albania</w:t>
      </w:r>
    </w:p>
    <w:p w:rsidR="009A5F7C" w:rsidRPr="001F29E7" w:rsidRDefault="009A5F7C" w:rsidP="00011E63">
      <w:pPr>
        <w:jc w:val="both"/>
        <w:rPr>
          <w:rFonts w:ascii="Times New Roman" w:hAnsi="Times New Roman"/>
          <w:sz w:val="32"/>
          <w:szCs w:val="32"/>
        </w:rPr>
      </w:pPr>
    </w:p>
    <w:p w:rsidR="009A5F7C" w:rsidRPr="001F29E7" w:rsidRDefault="009A5F7C" w:rsidP="00011E63">
      <w:pPr>
        <w:jc w:val="both"/>
        <w:rPr>
          <w:rFonts w:ascii="Times New Roman" w:hAnsi="Times New Roman"/>
          <w:b/>
          <w:sz w:val="36"/>
          <w:szCs w:val="32"/>
        </w:rPr>
      </w:pPr>
    </w:p>
    <w:p w:rsidR="00866405" w:rsidRPr="001F29E7" w:rsidRDefault="00866405" w:rsidP="00011E63">
      <w:pPr>
        <w:jc w:val="both"/>
        <w:rPr>
          <w:rFonts w:ascii="Times New Roman" w:hAnsi="Times New Roman"/>
          <w:b/>
          <w:sz w:val="36"/>
          <w:szCs w:val="32"/>
        </w:rPr>
      </w:pPr>
    </w:p>
    <w:p w:rsidR="009A5F7C" w:rsidRPr="001F29E7" w:rsidRDefault="00866405" w:rsidP="00011E63">
      <w:pPr>
        <w:jc w:val="center"/>
        <w:rPr>
          <w:rFonts w:ascii="Times New Roman" w:hAnsi="Times New Roman"/>
          <w:b/>
          <w:sz w:val="36"/>
          <w:szCs w:val="32"/>
        </w:rPr>
      </w:pPr>
      <w:r w:rsidRPr="001F29E7">
        <w:rPr>
          <w:rFonts w:ascii="Times New Roman" w:hAnsi="Times New Roman"/>
          <w:b/>
          <w:sz w:val="36"/>
          <w:szCs w:val="32"/>
        </w:rPr>
        <w:t>201</w:t>
      </w:r>
      <w:r w:rsidR="00C805B5" w:rsidRPr="001F29E7">
        <w:rPr>
          <w:rFonts w:ascii="Times New Roman" w:hAnsi="Times New Roman"/>
          <w:b/>
          <w:sz w:val="36"/>
          <w:szCs w:val="32"/>
        </w:rPr>
        <w:t>8</w:t>
      </w:r>
      <w:r w:rsidRPr="001F29E7">
        <w:rPr>
          <w:rFonts w:ascii="Times New Roman" w:hAnsi="Times New Roman"/>
          <w:b/>
          <w:sz w:val="36"/>
          <w:szCs w:val="32"/>
        </w:rPr>
        <w:t xml:space="preserve"> BUDGET TRANSPARENCY REPORT</w:t>
      </w:r>
    </w:p>
    <w:p w:rsidR="009A5F7C" w:rsidRPr="001F29E7" w:rsidRDefault="009A5F7C" w:rsidP="00011E63">
      <w:pPr>
        <w:jc w:val="both"/>
        <w:rPr>
          <w:rFonts w:ascii="Times New Roman" w:hAnsi="Times New Roman"/>
          <w:sz w:val="32"/>
          <w:szCs w:val="32"/>
        </w:rPr>
      </w:pPr>
    </w:p>
    <w:p w:rsidR="009A5F7C" w:rsidRPr="001F29E7" w:rsidRDefault="009A5F7C" w:rsidP="00011E63">
      <w:pPr>
        <w:jc w:val="both"/>
        <w:rPr>
          <w:rFonts w:ascii="Times New Roman" w:hAnsi="Times New Roman"/>
          <w:sz w:val="32"/>
          <w:szCs w:val="32"/>
        </w:rPr>
      </w:pPr>
    </w:p>
    <w:p w:rsidR="00866405" w:rsidRPr="001F29E7" w:rsidRDefault="00866405" w:rsidP="00011E63">
      <w:pPr>
        <w:jc w:val="both"/>
        <w:rPr>
          <w:rFonts w:ascii="Times New Roman" w:hAnsi="Times New Roman"/>
          <w:sz w:val="32"/>
          <w:szCs w:val="32"/>
        </w:rPr>
      </w:pPr>
    </w:p>
    <w:p w:rsidR="009A5F7C" w:rsidRPr="001F29E7" w:rsidRDefault="009A5F7C" w:rsidP="00011E63">
      <w:pPr>
        <w:jc w:val="both"/>
        <w:rPr>
          <w:rFonts w:ascii="Times New Roman" w:hAnsi="Times New Roman"/>
        </w:rPr>
      </w:pPr>
    </w:p>
    <w:p w:rsidR="009A5F7C" w:rsidRPr="001F29E7" w:rsidRDefault="009A5F7C" w:rsidP="00011E63">
      <w:pPr>
        <w:jc w:val="both"/>
        <w:rPr>
          <w:rFonts w:ascii="Times New Roman" w:hAnsi="Times New Roman"/>
        </w:rPr>
      </w:pPr>
    </w:p>
    <w:p w:rsidR="009A5F7C" w:rsidRPr="001F29E7" w:rsidRDefault="009A5F7C" w:rsidP="00011E63">
      <w:pPr>
        <w:jc w:val="both"/>
        <w:rPr>
          <w:rFonts w:ascii="Times New Roman" w:hAnsi="Times New Roman"/>
        </w:rPr>
      </w:pPr>
    </w:p>
    <w:p w:rsidR="009A5F7C" w:rsidRPr="001F29E7" w:rsidRDefault="009A5F7C" w:rsidP="00011E63">
      <w:pPr>
        <w:jc w:val="center"/>
        <w:rPr>
          <w:rFonts w:ascii="Times New Roman" w:hAnsi="Times New Roman"/>
        </w:rPr>
      </w:pPr>
    </w:p>
    <w:p w:rsidR="009A5F7C" w:rsidRPr="001F29E7" w:rsidRDefault="009A5F7C" w:rsidP="00011E63">
      <w:pPr>
        <w:jc w:val="center"/>
        <w:rPr>
          <w:rFonts w:ascii="Times New Roman" w:hAnsi="Times New Roman"/>
          <w:sz w:val="24"/>
          <w:szCs w:val="24"/>
        </w:rPr>
      </w:pPr>
      <w:r w:rsidRPr="001F29E7">
        <w:rPr>
          <w:rFonts w:ascii="Times New Roman" w:hAnsi="Times New Roman"/>
          <w:sz w:val="24"/>
          <w:szCs w:val="24"/>
        </w:rPr>
        <w:t>March 2018</w:t>
      </w:r>
    </w:p>
    <w:p w:rsidR="001D4603" w:rsidRPr="001F29E7" w:rsidRDefault="001D4603" w:rsidP="00011E63">
      <w:pPr>
        <w:jc w:val="center"/>
        <w:rPr>
          <w:rFonts w:ascii="Times New Roman" w:hAnsi="Times New Roman"/>
        </w:rPr>
      </w:pPr>
    </w:p>
    <w:p w:rsidR="009A5F7C" w:rsidRPr="001F29E7" w:rsidRDefault="009A5F7C" w:rsidP="00011E63">
      <w:pPr>
        <w:jc w:val="both"/>
        <w:rPr>
          <w:rFonts w:ascii="Times New Roman" w:hAnsi="Times New Roman"/>
        </w:rPr>
      </w:pPr>
    </w:p>
    <w:p w:rsidR="009A5F7C" w:rsidRPr="001F29E7" w:rsidRDefault="009A5F7C" w:rsidP="00011E63">
      <w:pPr>
        <w:jc w:val="both"/>
        <w:rPr>
          <w:rFonts w:ascii="Times New Roman" w:hAnsi="Times New Roman"/>
        </w:rPr>
      </w:pPr>
    </w:p>
    <w:p w:rsidR="009A5F7C" w:rsidRPr="001F29E7" w:rsidRDefault="009A5F7C" w:rsidP="00011E63">
      <w:pPr>
        <w:jc w:val="both"/>
        <w:rPr>
          <w:rFonts w:ascii="Times New Roman" w:hAnsi="Times New Roman"/>
        </w:rPr>
      </w:pPr>
    </w:p>
    <w:p w:rsidR="009A5F7C" w:rsidRPr="001F29E7" w:rsidRDefault="009A5F7C" w:rsidP="00011E63">
      <w:pPr>
        <w:jc w:val="both"/>
        <w:rPr>
          <w:rFonts w:ascii="Times New Roman" w:hAnsi="Times New Roman"/>
        </w:rPr>
      </w:pPr>
    </w:p>
    <w:p w:rsidR="009A5F7C" w:rsidRPr="001F29E7" w:rsidRDefault="009A5F7C" w:rsidP="00011E63">
      <w:pPr>
        <w:jc w:val="both"/>
        <w:rPr>
          <w:rFonts w:ascii="Times New Roman" w:hAnsi="Times New Roman"/>
        </w:rPr>
      </w:pPr>
    </w:p>
    <w:p w:rsidR="009A5F7C" w:rsidRPr="001F29E7" w:rsidRDefault="009A5F7C" w:rsidP="00011E63">
      <w:pPr>
        <w:jc w:val="both"/>
        <w:rPr>
          <w:rFonts w:ascii="Times New Roman" w:hAnsi="Times New Roman"/>
        </w:rPr>
      </w:pPr>
    </w:p>
    <w:p w:rsidR="009A5F7C" w:rsidRPr="001F29E7" w:rsidRDefault="009A5F7C" w:rsidP="00011E63">
      <w:pPr>
        <w:jc w:val="both"/>
        <w:rPr>
          <w:rFonts w:ascii="Times New Roman" w:hAnsi="Times New Roman"/>
        </w:rPr>
      </w:pPr>
    </w:p>
    <w:p w:rsidR="009A5F7C" w:rsidRPr="001F29E7" w:rsidRDefault="009A5F7C" w:rsidP="00011E63">
      <w:pPr>
        <w:jc w:val="both"/>
        <w:rPr>
          <w:rFonts w:ascii="Times New Roman" w:hAnsi="Times New Roman"/>
        </w:rPr>
      </w:pPr>
    </w:p>
    <w:tbl>
      <w:tblPr>
        <w:tblpPr w:leftFromText="180" w:rightFromText="180" w:horzAnchor="margin" w:tblpY="1323"/>
        <w:tblW w:w="8383" w:type="dxa"/>
        <w:tblLook w:val="04A0" w:firstRow="1" w:lastRow="0" w:firstColumn="1" w:lastColumn="0" w:noHBand="0" w:noVBand="1"/>
      </w:tblPr>
      <w:tblGrid>
        <w:gridCol w:w="1368"/>
        <w:gridCol w:w="7015"/>
      </w:tblGrid>
      <w:tr w:rsidR="00011E63" w:rsidRPr="001F29E7" w:rsidTr="007B4E9A">
        <w:trPr>
          <w:trHeight w:val="405"/>
        </w:trPr>
        <w:tc>
          <w:tcPr>
            <w:tcW w:w="1368" w:type="dxa"/>
            <w:shd w:val="clear" w:color="auto" w:fill="auto"/>
            <w:noWrap/>
            <w:vAlign w:val="center"/>
          </w:tcPr>
          <w:p w:rsidR="009A5F7C" w:rsidRPr="001F29E7" w:rsidRDefault="009A5F7C" w:rsidP="00011E63">
            <w:pPr>
              <w:pStyle w:val="BodyText"/>
              <w:spacing w:line="276" w:lineRule="auto"/>
              <w:jc w:val="both"/>
              <w:rPr>
                <w:b w:val="0"/>
                <w:sz w:val="22"/>
                <w:szCs w:val="22"/>
                <w:lang w:eastAsia="en-US"/>
              </w:rPr>
            </w:pPr>
          </w:p>
        </w:tc>
        <w:tc>
          <w:tcPr>
            <w:tcW w:w="7015" w:type="dxa"/>
            <w:shd w:val="clear" w:color="auto" w:fill="auto"/>
            <w:noWrap/>
            <w:vAlign w:val="center"/>
          </w:tcPr>
          <w:p w:rsidR="009A5F7C" w:rsidRPr="001F29E7" w:rsidRDefault="009A5F7C" w:rsidP="00011E63">
            <w:pPr>
              <w:pStyle w:val="BodyText"/>
              <w:spacing w:line="276" w:lineRule="auto"/>
              <w:jc w:val="both"/>
              <w:rPr>
                <w:sz w:val="22"/>
                <w:szCs w:val="22"/>
                <w:lang w:eastAsia="en-US"/>
              </w:rPr>
            </w:pPr>
            <w:r w:rsidRPr="001F29E7">
              <w:rPr>
                <w:sz w:val="22"/>
                <w:szCs w:val="22"/>
                <w:lang w:eastAsia="en-US"/>
              </w:rPr>
              <w:t>List of Acronyms</w:t>
            </w:r>
          </w:p>
          <w:p w:rsidR="009A5F7C" w:rsidRPr="001F29E7" w:rsidRDefault="009A5F7C" w:rsidP="00011E63">
            <w:pPr>
              <w:pStyle w:val="BodyText"/>
              <w:spacing w:line="276" w:lineRule="auto"/>
              <w:jc w:val="both"/>
              <w:rPr>
                <w:b w:val="0"/>
                <w:sz w:val="22"/>
                <w:szCs w:val="22"/>
                <w:lang w:eastAsia="en-US"/>
              </w:rPr>
            </w:pPr>
          </w:p>
          <w:p w:rsidR="009A5F7C" w:rsidRPr="001F29E7" w:rsidRDefault="009A5F7C" w:rsidP="00011E63">
            <w:pPr>
              <w:pStyle w:val="BodyText"/>
              <w:spacing w:line="276" w:lineRule="auto"/>
              <w:jc w:val="both"/>
              <w:rPr>
                <w:b w:val="0"/>
                <w:sz w:val="22"/>
                <w:szCs w:val="22"/>
                <w:lang w:eastAsia="en-US"/>
              </w:rPr>
            </w:pPr>
          </w:p>
        </w:tc>
      </w:tr>
      <w:tr w:rsidR="00011E63" w:rsidRPr="001F29E7" w:rsidTr="007B4E9A">
        <w:trPr>
          <w:trHeight w:val="300"/>
        </w:trPr>
        <w:tc>
          <w:tcPr>
            <w:tcW w:w="1368" w:type="dxa"/>
            <w:shd w:val="clear" w:color="auto" w:fill="auto"/>
            <w:noWrap/>
            <w:vAlign w:val="center"/>
          </w:tcPr>
          <w:p w:rsidR="009A5F7C" w:rsidRPr="001F29E7" w:rsidRDefault="009A5F7C" w:rsidP="00011E63">
            <w:pPr>
              <w:pStyle w:val="BodyText"/>
              <w:spacing w:line="276" w:lineRule="auto"/>
              <w:jc w:val="both"/>
              <w:rPr>
                <w:b w:val="0"/>
                <w:lang w:eastAsia="en-US"/>
              </w:rPr>
            </w:pPr>
            <w:r w:rsidRPr="001F29E7">
              <w:rPr>
                <w:b w:val="0"/>
                <w:lang w:eastAsia="en-US"/>
              </w:rPr>
              <w:t>DLDP</w:t>
            </w:r>
          </w:p>
        </w:tc>
        <w:tc>
          <w:tcPr>
            <w:tcW w:w="7015" w:type="dxa"/>
            <w:shd w:val="clear" w:color="auto" w:fill="auto"/>
            <w:noWrap/>
            <w:vAlign w:val="center"/>
          </w:tcPr>
          <w:p w:rsidR="009A5F7C" w:rsidRPr="001F29E7" w:rsidRDefault="009A5F7C" w:rsidP="00011E63">
            <w:pPr>
              <w:pStyle w:val="BodyText"/>
              <w:spacing w:line="276" w:lineRule="auto"/>
              <w:jc w:val="both"/>
              <w:rPr>
                <w:b w:val="0"/>
                <w:lang w:eastAsia="en-US"/>
              </w:rPr>
            </w:pPr>
            <w:r w:rsidRPr="001F29E7">
              <w:rPr>
                <w:b w:val="0"/>
                <w:lang w:eastAsia="en-US"/>
              </w:rPr>
              <w:t>Decentralisation and Local Development Programme</w:t>
            </w:r>
          </w:p>
        </w:tc>
      </w:tr>
      <w:tr w:rsidR="00011E63" w:rsidRPr="001F29E7" w:rsidTr="007B4E9A">
        <w:trPr>
          <w:trHeight w:val="300"/>
        </w:trPr>
        <w:tc>
          <w:tcPr>
            <w:tcW w:w="1368" w:type="dxa"/>
            <w:shd w:val="clear" w:color="auto" w:fill="auto"/>
            <w:noWrap/>
            <w:vAlign w:val="center"/>
            <w:hideMark/>
          </w:tcPr>
          <w:p w:rsidR="006D6C3E" w:rsidRPr="001F29E7" w:rsidRDefault="006D6C3E" w:rsidP="00011E63">
            <w:pPr>
              <w:pStyle w:val="BodyText"/>
              <w:spacing w:line="276" w:lineRule="auto"/>
              <w:jc w:val="both"/>
              <w:rPr>
                <w:b w:val="0"/>
                <w:lang w:eastAsia="en-US"/>
              </w:rPr>
            </w:pPr>
            <w:r w:rsidRPr="001F29E7">
              <w:rPr>
                <w:b w:val="0"/>
                <w:lang w:eastAsia="en-US"/>
              </w:rPr>
              <w:t>LM</w:t>
            </w:r>
          </w:p>
        </w:tc>
        <w:tc>
          <w:tcPr>
            <w:tcW w:w="7015" w:type="dxa"/>
            <w:shd w:val="clear" w:color="auto" w:fill="auto"/>
            <w:noWrap/>
            <w:vAlign w:val="center"/>
            <w:hideMark/>
          </w:tcPr>
          <w:p w:rsidR="006D6C3E" w:rsidRPr="001F29E7" w:rsidRDefault="006D6C3E" w:rsidP="00011E63">
            <w:pPr>
              <w:pStyle w:val="BodyText"/>
              <w:spacing w:line="276" w:lineRule="auto"/>
              <w:jc w:val="both"/>
              <w:rPr>
                <w:b w:val="0"/>
                <w:lang w:eastAsia="en-US"/>
              </w:rPr>
            </w:pPr>
            <w:r w:rsidRPr="001F29E7">
              <w:rPr>
                <w:b w:val="0"/>
                <w:lang w:eastAsia="en-US"/>
              </w:rPr>
              <w:t>Line Ministry</w:t>
            </w:r>
          </w:p>
        </w:tc>
      </w:tr>
      <w:tr w:rsidR="00011E63" w:rsidRPr="001F29E7" w:rsidTr="007B4E9A">
        <w:trPr>
          <w:trHeight w:val="300"/>
        </w:trPr>
        <w:tc>
          <w:tcPr>
            <w:tcW w:w="1368" w:type="dxa"/>
            <w:shd w:val="clear" w:color="auto" w:fill="auto"/>
            <w:noWrap/>
            <w:vAlign w:val="center"/>
            <w:hideMark/>
          </w:tcPr>
          <w:p w:rsidR="009A5F7C" w:rsidRPr="001F29E7" w:rsidRDefault="00194CBD" w:rsidP="00011E63">
            <w:pPr>
              <w:pStyle w:val="BodyText"/>
              <w:spacing w:line="276" w:lineRule="auto"/>
              <w:jc w:val="both"/>
              <w:rPr>
                <w:b w:val="0"/>
                <w:lang w:eastAsia="en-US"/>
              </w:rPr>
            </w:pPr>
            <w:proofErr w:type="spellStart"/>
            <w:r w:rsidRPr="001F29E7">
              <w:rPr>
                <w:b w:val="0"/>
                <w:lang w:eastAsia="en-US"/>
              </w:rPr>
              <w:t>Mo</w:t>
            </w:r>
            <w:r w:rsidR="009A5F7C" w:rsidRPr="001F29E7">
              <w:rPr>
                <w:b w:val="0"/>
                <w:lang w:eastAsia="en-US"/>
              </w:rPr>
              <w:t>F</w:t>
            </w:r>
            <w:r w:rsidRPr="001F29E7">
              <w:rPr>
                <w:b w:val="0"/>
                <w:lang w:eastAsia="en-US"/>
              </w:rPr>
              <w:t>E</w:t>
            </w:r>
            <w:proofErr w:type="spellEnd"/>
          </w:p>
          <w:p w:rsidR="006C7066" w:rsidRPr="001F29E7" w:rsidRDefault="006C7066" w:rsidP="00011E63">
            <w:pPr>
              <w:pStyle w:val="BodyText"/>
              <w:spacing w:line="276" w:lineRule="auto"/>
              <w:jc w:val="both"/>
              <w:rPr>
                <w:b w:val="0"/>
                <w:lang w:eastAsia="en-US"/>
              </w:rPr>
            </w:pPr>
            <w:r w:rsidRPr="001F29E7">
              <w:rPr>
                <w:b w:val="0"/>
              </w:rPr>
              <w:t>MTBP</w:t>
            </w:r>
          </w:p>
        </w:tc>
        <w:tc>
          <w:tcPr>
            <w:tcW w:w="7015" w:type="dxa"/>
            <w:shd w:val="clear" w:color="auto" w:fill="auto"/>
            <w:noWrap/>
            <w:vAlign w:val="center"/>
            <w:hideMark/>
          </w:tcPr>
          <w:p w:rsidR="009A5F7C" w:rsidRPr="001F29E7" w:rsidRDefault="009A5F7C" w:rsidP="00011E63">
            <w:pPr>
              <w:pStyle w:val="BodyText"/>
              <w:spacing w:line="276" w:lineRule="auto"/>
              <w:jc w:val="both"/>
              <w:rPr>
                <w:b w:val="0"/>
                <w:lang w:eastAsia="en-US"/>
              </w:rPr>
            </w:pPr>
            <w:r w:rsidRPr="001F29E7">
              <w:rPr>
                <w:b w:val="0"/>
                <w:lang w:eastAsia="en-US"/>
              </w:rPr>
              <w:t>Ministry of Finance</w:t>
            </w:r>
            <w:r w:rsidR="00194CBD" w:rsidRPr="001F29E7">
              <w:rPr>
                <w:b w:val="0"/>
                <w:lang w:eastAsia="en-US"/>
              </w:rPr>
              <w:t xml:space="preserve"> and Economy</w:t>
            </w:r>
          </w:p>
          <w:p w:rsidR="006C7066" w:rsidRPr="001F29E7" w:rsidRDefault="006C7066" w:rsidP="00011E63">
            <w:pPr>
              <w:pStyle w:val="BodyText"/>
              <w:spacing w:line="276" w:lineRule="auto"/>
              <w:jc w:val="both"/>
              <w:rPr>
                <w:b w:val="0"/>
                <w:lang w:eastAsia="en-US"/>
              </w:rPr>
            </w:pPr>
            <w:r w:rsidRPr="001F29E7">
              <w:rPr>
                <w:b w:val="0"/>
              </w:rPr>
              <w:t>Medium Term Budget Program</w:t>
            </w:r>
          </w:p>
        </w:tc>
      </w:tr>
      <w:tr w:rsidR="00011E63" w:rsidRPr="001F29E7" w:rsidTr="007B4E9A">
        <w:trPr>
          <w:trHeight w:val="300"/>
        </w:trPr>
        <w:tc>
          <w:tcPr>
            <w:tcW w:w="1368" w:type="dxa"/>
            <w:shd w:val="clear" w:color="auto" w:fill="auto"/>
            <w:noWrap/>
            <w:vAlign w:val="center"/>
          </w:tcPr>
          <w:p w:rsidR="009A5F7C" w:rsidRPr="001F29E7" w:rsidRDefault="00194CBD" w:rsidP="00011E63">
            <w:pPr>
              <w:pStyle w:val="BodyText"/>
              <w:spacing w:line="276" w:lineRule="auto"/>
              <w:jc w:val="both"/>
              <w:rPr>
                <w:b w:val="0"/>
                <w:lang w:eastAsia="en-US"/>
              </w:rPr>
            </w:pPr>
            <w:r w:rsidRPr="001F29E7">
              <w:rPr>
                <w:b w:val="0"/>
                <w:lang w:eastAsia="en-US"/>
              </w:rPr>
              <w:t>PPP</w:t>
            </w:r>
          </w:p>
          <w:p w:rsidR="00194CBD" w:rsidRPr="001F29E7" w:rsidRDefault="00194CBD" w:rsidP="00011E63">
            <w:pPr>
              <w:pStyle w:val="BodyText"/>
              <w:spacing w:line="276" w:lineRule="auto"/>
              <w:jc w:val="both"/>
              <w:rPr>
                <w:b w:val="0"/>
                <w:lang w:eastAsia="en-US"/>
              </w:rPr>
            </w:pPr>
            <w:r w:rsidRPr="001F29E7">
              <w:rPr>
                <w:b w:val="0"/>
                <w:lang w:eastAsia="en-US"/>
              </w:rPr>
              <w:t xml:space="preserve">PFM </w:t>
            </w:r>
          </w:p>
          <w:p w:rsidR="00194CBD" w:rsidRPr="001F29E7" w:rsidRDefault="00194CBD" w:rsidP="00011E63">
            <w:pPr>
              <w:pStyle w:val="BodyText"/>
              <w:spacing w:line="276" w:lineRule="auto"/>
              <w:jc w:val="both"/>
              <w:rPr>
                <w:rFonts w:eastAsia="Times"/>
                <w:b w:val="0"/>
                <w:lang w:eastAsia="en-US"/>
              </w:rPr>
            </w:pPr>
            <w:r w:rsidRPr="001F29E7">
              <w:rPr>
                <w:b w:val="0"/>
                <w:lang w:eastAsia="en-US"/>
              </w:rPr>
              <w:t>TA</w:t>
            </w:r>
          </w:p>
        </w:tc>
        <w:tc>
          <w:tcPr>
            <w:tcW w:w="7015" w:type="dxa"/>
            <w:shd w:val="clear" w:color="auto" w:fill="auto"/>
            <w:noWrap/>
            <w:vAlign w:val="center"/>
          </w:tcPr>
          <w:p w:rsidR="009A5F7C" w:rsidRPr="001F29E7" w:rsidRDefault="009A5F7C" w:rsidP="00011E63">
            <w:pPr>
              <w:pStyle w:val="BodyText"/>
              <w:spacing w:line="276" w:lineRule="auto"/>
              <w:jc w:val="both"/>
              <w:rPr>
                <w:b w:val="0"/>
                <w:lang w:eastAsia="en-US"/>
              </w:rPr>
            </w:pPr>
            <w:r w:rsidRPr="001F29E7">
              <w:rPr>
                <w:b w:val="0"/>
                <w:lang w:eastAsia="en-US"/>
              </w:rPr>
              <w:t>Public Private Partnership</w:t>
            </w:r>
          </w:p>
          <w:p w:rsidR="00194CBD" w:rsidRPr="001F29E7" w:rsidRDefault="00194CBD" w:rsidP="00011E63">
            <w:pPr>
              <w:pStyle w:val="BodyText"/>
              <w:spacing w:line="276" w:lineRule="auto"/>
              <w:jc w:val="both"/>
              <w:rPr>
                <w:rFonts w:eastAsia="Times"/>
                <w:b w:val="0"/>
                <w:lang w:eastAsia="en-US"/>
              </w:rPr>
            </w:pPr>
            <w:r w:rsidRPr="001F29E7">
              <w:rPr>
                <w:rFonts w:eastAsia="Times"/>
                <w:b w:val="0"/>
                <w:lang w:eastAsia="en-US"/>
              </w:rPr>
              <w:t xml:space="preserve">Public Finance Management </w:t>
            </w:r>
          </w:p>
          <w:p w:rsidR="00194CBD" w:rsidRPr="001F29E7" w:rsidRDefault="00194CBD" w:rsidP="00011E63">
            <w:pPr>
              <w:pStyle w:val="BodyText"/>
              <w:spacing w:line="276" w:lineRule="auto"/>
              <w:jc w:val="both"/>
              <w:rPr>
                <w:rFonts w:eastAsia="Times"/>
                <w:b w:val="0"/>
                <w:lang w:eastAsia="en-US"/>
              </w:rPr>
            </w:pPr>
            <w:r w:rsidRPr="001F29E7">
              <w:rPr>
                <w:rFonts w:eastAsia="Times"/>
                <w:b w:val="0"/>
                <w:lang w:eastAsia="en-US"/>
              </w:rPr>
              <w:t>Technical Assistance</w:t>
            </w:r>
          </w:p>
        </w:tc>
      </w:tr>
      <w:tr w:rsidR="00011E63" w:rsidRPr="001F29E7" w:rsidTr="00194CBD">
        <w:trPr>
          <w:trHeight w:val="228"/>
        </w:trPr>
        <w:tc>
          <w:tcPr>
            <w:tcW w:w="1368" w:type="dxa"/>
            <w:shd w:val="clear" w:color="auto" w:fill="auto"/>
            <w:noWrap/>
            <w:vAlign w:val="center"/>
          </w:tcPr>
          <w:p w:rsidR="009A5F7C" w:rsidRPr="001F29E7" w:rsidRDefault="009A5F7C" w:rsidP="00011E63">
            <w:pPr>
              <w:pStyle w:val="BodyText"/>
              <w:spacing w:line="276" w:lineRule="auto"/>
              <w:jc w:val="both"/>
              <w:rPr>
                <w:rFonts w:eastAsia="Times"/>
                <w:b w:val="0"/>
                <w:lang w:eastAsia="en-US"/>
              </w:rPr>
            </w:pPr>
          </w:p>
        </w:tc>
        <w:tc>
          <w:tcPr>
            <w:tcW w:w="7015" w:type="dxa"/>
            <w:shd w:val="clear" w:color="auto" w:fill="auto"/>
            <w:noWrap/>
            <w:vAlign w:val="center"/>
          </w:tcPr>
          <w:p w:rsidR="009A5F7C" w:rsidRPr="001F29E7" w:rsidRDefault="009A5F7C" w:rsidP="00011E63">
            <w:pPr>
              <w:pStyle w:val="BodyText"/>
              <w:spacing w:line="276" w:lineRule="auto"/>
              <w:jc w:val="both"/>
              <w:rPr>
                <w:rFonts w:eastAsia="Times"/>
                <w:b w:val="0"/>
                <w:lang w:eastAsia="en-US"/>
              </w:rPr>
            </w:pPr>
          </w:p>
        </w:tc>
      </w:tr>
    </w:tbl>
    <w:p w:rsidR="009A5F7C" w:rsidRDefault="009A5F7C" w:rsidP="00011E63">
      <w:pPr>
        <w:jc w:val="both"/>
        <w:rPr>
          <w:rFonts w:ascii="Times New Roman" w:hAnsi="Times New Roman"/>
        </w:rPr>
      </w:pPr>
      <w:r w:rsidRPr="001F29E7">
        <w:rPr>
          <w:rFonts w:ascii="Times New Roman" w:hAnsi="Times New Roman"/>
          <w:b/>
        </w:rPr>
        <w:br w:type="page"/>
      </w:r>
    </w:p>
    <w:p w:rsidR="00827449" w:rsidRPr="00827449" w:rsidRDefault="00827449" w:rsidP="00011E63">
      <w:pPr>
        <w:jc w:val="both"/>
        <w:rPr>
          <w:rFonts w:ascii="Times New Roman" w:hAnsi="Times New Roman"/>
        </w:rPr>
      </w:pPr>
    </w:p>
    <w:p w:rsidR="009A5F7C" w:rsidRPr="001F29E7" w:rsidRDefault="009A5F7C" w:rsidP="00011E63">
      <w:pPr>
        <w:pStyle w:val="ListParagraph"/>
        <w:numPr>
          <w:ilvl w:val="0"/>
          <w:numId w:val="2"/>
        </w:numPr>
        <w:jc w:val="both"/>
        <w:rPr>
          <w:rFonts w:ascii="Times New Roman" w:hAnsi="Times New Roman"/>
          <w:b/>
          <w:sz w:val="24"/>
          <w:szCs w:val="24"/>
        </w:rPr>
      </w:pPr>
      <w:r w:rsidRPr="001F29E7">
        <w:rPr>
          <w:rFonts w:ascii="Times New Roman" w:hAnsi="Times New Roman"/>
          <w:b/>
          <w:sz w:val="24"/>
          <w:szCs w:val="24"/>
        </w:rPr>
        <w:t>Improving the quality of budget documents produced during 20</w:t>
      </w:r>
      <w:r w:rsidR="00B779FE" w:rsidRPr="001F29E7">
        <w:rPr>
          <w:rFonts w:ascii="Times New Roman" w:hAnsi="Times New Roman"/>
          <w:b/>
          <w:sz w:val="24"/>
          <w:szCs w:val="24"/>
        </w:rPr>
        <w:t>18</w:t>
      </w:r>
    </w:p>
    <w:p w:rsidR="00384B8A" w:rsidRPr="001F29E7" w:rsidRDefault="00384B8A" w:rsidP="00384B8A">
      <w:pPr>
        <w:jc w:val="both"/>
        <w:rPr>
          <w:rFonts w:ascii="Times New Roman" w:hAnsi="Times New Roman"/>
          <w:sz w:val="24"/>
          <w:szCs w:val="24"/>
        </w:rPr>
      </w:pPr>
      <w:r w:rsidRPr="001F29E7">
        <w:rPr>
          <w:rFonts w:ascii="Times New Roman" w:hAnsi="Times New Roman"/>
          <w:sz w:val="24"/>
          <w:szCs w:val="24"/>
        </w:rPr>
        <w:t>Albania produces and publishes all 8 key budget documents classified as indispensable in the context of transparency.</w:t>
      </w:r>
    </w:p>
    <w:p w:rsidR="00384B8A" w:rsidRPr="001F29E7" w:rsidRDefault="00384B8A" w:rsidP="00384B8A">
      <w:pPr>
        <w:spacing w:after="0"/>
        <w:ind w:right="43"/>
        <w:jc w:val="both"/>
        <w:rPr>
          <w:rFonts w:ascii="Times New Roman" w:eastAsia="Times" w:hAnsi="Times New Roman"/>
          <w:sz w:val="24"/>
          <w:szCs w:val="24"/>
          <w:lang w:val="en-GB"/>
        </w:rPr>
      </w:pPr>
      <w:r w:rsidRPr="001F29E7">
        <w:rPr>
          <w:rFonts w:ascii="Times New Roman" w:eastAsia="Times" w:hAnsi="Times New Roman"/>
          <w:sz w:val="24"/>
          <w:szCs w:val="24"/>
          <w:lang w:val="en-GB"/>
        </w:rPr>
        <w:t>Detailed information on these 8 documents is presented as follows:</w:t>
      </w:r>
    </w:p>
    <w:p w:rsidR="00384B8A" w:rsidRPr="001F29E7" w:rsidRDefault="00384B8A" w:rsidP="00384B8A">
      <w:pPr>
        <w:spacing w:after="0"/>
        <w:ind w:right="43"/>
        <w:jc w:val="both"/>
        <w:rPr>
          <w:rFonts w:ascii="Times New Roman" w:eastAsia="Times" w:hAnsi="Times New Roman"/>
          <w:sz w:val="24"/>
          <w:szCs w:val="24"/>
          <w:lang w:val="en-GB"/>
        </w:rPr>
      </w:pPr>
    </w:p>
    <w:p w:rsidR="00384B8A" w:rsidRPr="001F29E7" w:rsidRDefault="00384B8A" w:rsidP="00384B8A">
      <w:pPr>
        <w:spacing w:after="0"/>
        <w:ind w:right="43"/>
        <w:jc w:val="both"/>
        <w:rPr>
          <w:rFonts w:ascii="Times New Roman" w:eastAsia="Times" w:hAnsi="Times New Roman"/>
          <w:sz w:val="24"/>
          <w:szCs w:val="24"/>
          <w:lang w:val="en-GB"/>
        </w:rPr>
      </w:pPr>
    </w:p>
    <w:p w:rsidR="009A5F7C" w:rsidRPr="001F29E7" w:rsidRDefault="009A5F7C" w:rsidP="00011E63">
      <w:pPr>
        <w:pStyle w:val="ListParagraph"/>
        <w:numPr>
          <w:ilvl w:val="0"/>
          <w:numId w:val="3"/>
        </w:numPr>
        <w:jc w:val="both"/>
        <w:rPr>
          <w:rFonts w:ascii="Times New Roman" w:hAnsi="Times New Roman"/>
          <w:i/>
          <w:sz w:val="24"/>
          <w:szCs w:val="24"/>
        </w:rPr>
      </w:pPr>
      <w:r w:rsidRPr="001F29E7">
        <w:rPr>
          <w:rFonts w:ascii="Times New Roman" w:hAnsi="Times New Roman"/>
          <w:i/>
          <w:sz w:val="24"/>
          <w:szCs w:val="24"/>
        </w:rPr>
        <w:t>Pre-Budget Document</w:t>
      </w:r>
    </w:p>
    <w:p w:rsidR="00384B8A" w:rsidRPr="001F29E7" w:rsidRDefault="00384B8A" w:rsidP="00384B8A">
      <w:pPr>
        <w:pStyle w:val="ListParagraph"/>
        <w:ind w:left="360"/>
        <w:jc w:val="both"/>
        <w:rPr>
          <w:rFonts w:ascii="Times New Roman" w:hAnsi="Times New Roman"/>
          <w:sz w:val="24"/>
          <w:szCs w:val="24"/>
        </w:rPr>
      </w:pPr>
      <w:r w:rsidRPr="001F29E7">
        <w:rPr>
          <w:rFonts w:ascii="Times New Roman" w:hAnsi="Times New Roman"/>
          <w:sz w:val="24"/>
          <w:szCs w:val="24"/>
        </w:rPr>
        <w:t>It is approved and published the Medium Term Budget Program</w:t>
      </w:r>
      <w:r w:rsidR="006C7066" w:rsidRPr="001F29E7">
        <w:rPr>
          <w:rFonts w:ascii="Times New Roman" w:hAnsi="Times New Roman"/>
          <w:sz w:val="24"/>
          <w:szCs w:val="24"/>
        </w:rPr>
        <w:t xml:space="preserve"> (MTBP)</w:t>
      </w:r>
      <w:r w:rsidRPr="001F29E7">
        <w:rPr>
          <w:rFonts w:ascii="Times New Roman" w:hAnsi="Times New Roman"/>
          <w:sz w:val="24"/>
          <w:szCs w:val="24"/>
        </w:rPr>
        <w:t xml:space="preserve"> 2019-2021, which is organized in a more user friendly manner. MTBP document has been redesigned by introducing a short summary for each Line Ministry</w:t>
      </w:r>
      <w:r w:rsidR="006C7066" w:rsidRPr="001F29E7">
        <w:rPr>
          <w:rFonts w:ascii="Times New Roman" w:hAnsi="Times New Roman"/>
          <w:sz w:val="24"/>
          <w:szCs w:val="24"/>
        </w:rPr>
        <w:t xml:space="preserve"> (LM)</w:t>
      </w:r>
      <w:r w:rsidRPr="001F29E7">
        <w:rPr>
          <w:rFonts w:ascii="Times New Roman" w:hAnsi="Times New Roman"/>
          <w:sz w:val="24"/>
          <w:szCs w:val="24"/>
        </w:rPr>
        <w:t xml:space="preserve"> of their medium term policy objective in terms of predicted cost and outcomes. Part of the MTBP document is also an annex where views and opinions of civil society about the medium term budget have been presented, during the public consultation of it.</w:t>
      </w:r>
    </w:p>
    <w:p w:rsidR="00384B8A" w:rsidRPr="001F29E7" w:rsidRDefault="00384B8A" w:rsidP="00384B8A">
      <w:pPr>
        <w:pStyle w:val="ListParagraph"/>
        <w:ind w:left="360"/>
        <w:jc w:val="both"/>
        <w:rPr>
          <w:rFonts w:ascii="Times New Roman" w:hAnsi="Times New Roman"/>
          <w:sz w:val="24"/>
          <w:szCs w:val="24"/>
        </w:rPr>
      </w:pPr>
    </w:p>
    <w:p w:rsidR="00384B8A" w:rsidRPr="001F29E7" w:rsidRDefault="00384B8A" w:rsidP="00384B8A">
      <w:pPr>
        <w:pStyle w:val="ListParagraph"/>
        <w:ind w:left="360"/>
        <w:jc w:val="both"/>
        <w:rPr>
          <w:rFonts w:ascii="Times New Roman" w:hAnsi="Times New Roman"/>
          <w:sz w:val="24"/>
          <w:szCs w:val="24"/>
        </w:rPr>
      </w:pPr>
      <w:r w:rsidRPr="001F29E7">
        <w:rPr>
          <w:rFonts w:ascii="Times New Roman" w:hAnsi="Times New Roman"/>
          <w:sz w:val="24"/>
          <w:szCs w:val="24"/>
        </w:rPr>
        <w:t xml:space="preserve">This document and all annexes can be </w:t>
      </w:r>
      <w:proofErr w:type="gramStart"/>
      <w:r w:rsidRPr="001F29E7">
        <w:rPr>
          <w:rFonts w:ascii="Times New Roman" w:hAnsi="Times New Roman"/>
          <w:sz w:val="24"/>
          <w:szCs w:val="24"/>
        </w:rPr>
        <w:t>download</w:t>
      </w:r>
      <w:proofErr w:type="gramEnd"/>
      <w:r w:rsidRPr="001F29E7">
        <w:rPr>
          <w:rFonts w:ascii="Times New Roman" w:hAnsi="Times New Roman"/>
          <w:sz w:val="24"/>
          <w:szCs w:val="24"/>
        </w:rPr>
        <w:t xml:space="preserve"> on the following link:</w:t>
      </w:r>
    </w:p>
    <w:p w:rsidR="00384B8A" w:rsidRPr="001F29E7" w:rsidRDefault="00776D20" w:rsidP="00384B8A">
      <w:pPr>
        <w:pStyle w:val="ListParagraph"/>
        <w:ind w:left="360"/>
        <w:jc w:val="both"/>
      </w:pPr>
      <w:hyperlink r:id="rId11" w:history="1">
        <w:r w:rsidR="00384B8A" w:rsidRPr="001F29E7">
          <w:rPr>
            <w:rStyle w:val="Hyperlink"/>
          </w:rPr>
          <w:t>https://financa.gov.al/programi-buxhetor-afatmesem-2019-2021-faza-ii/</w:t>
        </w:r>
      </w:hyperlink>
    </w:p>
    <w:p w:rsidR="009A5F7C" w:rsidRPr="001F29E7" w:rsidRDefault="009A5F7C" w:rsidP="00011E63">
      <w:pPr>
        <w:pStyle w:val="ListParagraph"/>
        <w:ind w:left="360"/>
        <w:jc w:val="both"/>
        <w:rPr>
          <w:rFonts w:ascii="Times New Roman" w:hAnsi="Times New Roman"/>
          <w:sz w:val="24"/>
          <w:szCs w:val="24"/>
          <w:u w:val="single"/>
        </w:rPr>
      </w:pPr>
    </w:p>
    <w:p w:rsidR="009A5F7C" w:rsidRPr="001F29E7" w:rsidRDefault="009A5F7C" w:rsidP="00011E63">
      <w:pPr>
        <w:pStyle w:val="ListParagraph"/>
        <w:numPr>
          <w:ilvl w:val="0"/>
          <w:numId w:val="3"/>
        </w:numPr>
        <w:jc w:val="both"/>
        <w:rPr>
          <w:rFonts w:ascii="Times New Roman" w:hAnsi="Times New Roman"/>
          <w:i/>
          <w:sz w:val="24"/>
          <w:szCs w:val="24"/>
        </w:rPr>
      </w:pPr>
      <w:r w:rsidRPr="001F29E7">
        <w:rPr>
          <w:rFonts w:ascii="Times New Roman" w:hAnsi="Times New Roman"/>
          <w:i/>
          <w:sz w:val="24"/>
          <w:szCs w:val="24"/>
        </w:rPr>
        <w:t>Executive’s Budget Proposal</w:t>
      </w:r>
    </w:p>
    <w:p w:rsidR="00384B8A" w:rsidRPr="001F29E7" w:rsidRDefault="00384B8A" w:rsidP="00384B8A">
      <w:pPr>
        <w:pStyle w:val="ListParagraph"/>
        <w:ind w:left="360"/>
        <w:jc w:val="both"/>
        <w:rPr>
          <w:rFonts w:ascii="Times New Roman" w:hAnsi="Times New Roman"/>
          <w:sz w:val="24"/>
          <w:szCs w:val="24"/>
        </w:rPr>
      </w:pPr>
      <w:r w:rsidRPr="001F29E7">
        <w:rPr>
          <w:rFonts w:ascii="Times New Roman" w:hAnsi="Times New Roman"/>
          <w:sz w:val="24"/>
          <w:szCs w:val="24"/>
        </w:rPr>
        <w:t>The package of 2019 budget draft-law was prepared by the Ministry of Finance and Economy and contains information structured as follows:</w:t>
      </w:r>
    </w:p>
    <w:p w:rsidR="00384B8A" w:rsidRPr="001F29E7" w:rsidRDefault="00384B8A" w:rsidP="00384B8A">
      <w:pPr>
        <w:pStyle w:val="ListParagraph"/>
        <w:numPr>
          <w:ilvl w:val="0"/>
          <w:numId w:val="4"/>
        </w:numPr>
        <w:jc w:val="both"/>
        <w:rPr>
          <w:rFonts w:ascii="Times New Roman" w:hAnsi="Times New Roman"/>
          <w:sz w:val="24"/>
          <w:szCs w:val="24"/>
        </w:rPr>
      </w:pPr>
      <w:r w:rsidRPr="001F29E7">
        <w:rPr>
          <w:rFonts w:ascii="Times New Roman" w:hAnsi="Times New Roman"/>
          <w:sz w:val="24"/>
          <w:szCs w:val="24"/>
        </w:rPr>
        <w:t>A brief technical summary of the proposed budget.</w:t>
      </w:r>
    </w:p>
    <w:p w:rsidR="00384B8A" w:rsidRPr="001F29E7" w:rsidRDefault="00384B8A" w:rsidP="00384B8A">
      <w:pPr>
        <w:pStyle w:val="ListParagraph"/>
        <w:numPr>
          <w:ilvl w:val="0"/>
          <w:numId w:val="4"/>
        </w:numPr>
        <w:jc w:val="both"/>
        <w:rPr>
          <w:rFonts w:ascii="Times New Roman" w:hAnsi="Times New Roman"/>
          <w:sz w:val="24"/>
          <w:szCs w:val="24"/>
        </w:rPr>
      </w:pPr>
      <w:r w:rsidRPr="001F29E7">
        <w:rPr>
          <w:rFonts w:ascii="Times New Roman" w:hAnsi="Times New Roman"/>
          <w:sz w:val="24"/>
          <w:szCs w:val="24"/>
        </w:rPr>
        <w:t>A detailed description of the economic situation of the country and the comparison with the regional countries.</w:t>
      </w:r>
    </w:p>
    <w:p w:rsidR="00384B8A" w:rsidRPr="001F29E7" w:rsidRDefault="00384B8A" w:rsidP="00384B8A">
      <w:pPr>
        <w:pStyle w:val="ListParagraph"/>
        <w:numPr>
          <w:ilvl w:val="0"/>
          <w:numId w:val="4"/>
        </w:numPr>
        <w:jc w:val="both"/>
        <w:rPr>
          <w:rFonts w:ascii="Times New Roman" w:hAnsi="Times New Roman"/>
          <w:sz w:val="24"/>
          <w:szCs w:val="24"/>
        </w:rPr>
      </w:pPr>
      <w:r w:rsidRPr="001F29E7">
        <w:rPr>
          <w:rFonts w:ascii="Times New Roman" w:hAnsi="Times New Roman"/>
          <w:sz w:val="24"/>
          <w:szCs w:val="24"/>
        </w:rPr>
        <w:t>A forecast of key macroeconomic and fiscal indicators for the next three budget years.</w:t>
      </w:r>
    </w:p>
    <w:p w:rsidR="00384B8A" w:rsidRPr="001F29E7" w:rsidRDefault="00384B8A" w:rsidP="00384B8A">
      <w:pPr>
        <w:pStyle w:val="ListParagraph"/>
        <w:numPr>
          <w:ilvl w:val="0"/>
          <w:numId w:val="4"/>
        </w:numPr>
        <w:jc w:val="both"/>
        <w:rPr>
          <w:rFonts w:ascii="Times New Roman" w:hAnsi="Times New Roman"/>
          <w:sz w:val="24"/>
          <w:szCs w:val="24"/>
        </w:rPr>
      </w:pPr>
      <w:r w:rsidRPr="001F29E7">
        <w:rPr>
          <w:rFonts w:ascii="Times New Roman" w:hAnsi="Times New Roman"/>
          <w:sz w:val="24"/>
          <w:szCs w:val="24"/>
        </w:rPr>
        <w:t xml:space="preserve">A detailed description of planned revenues by type and how will affect the achievement of the objectives of government policy. A special section is dedicated to tax expenditures explanation. </w:t>
      </w:r>
    </w:p>
    <w:p w:rsidR="00384B8A" w:rsidRPr="001F29E7" w:rsidRDefault="00384B8A" w:rsidP="00384B8A">
      <w:pPr>
        <w:pStyle w:val="ListParagraph"/>
        <w:numPr>
          <w:ilvl w:val="0"/>
          <w:numId w:val="4"/>
        </w:numPr>
        <w:jc w:val="both"/>
        <w:rPr>
          <w:rFonts w:ascii="Times New Roman" w:hAnsi="Times New Roman"/>
          <w:sz w:val="24"/>
          <w:szCs w:val="24"/>
        </w:rPr>
      </w:pPr>
      <w:r w:rsidRPr="001F29E7">
        <w:rPr>
          <w:rFonts w:ascii="Times New Roman" w:hAnsi="Times New Roman"/>
          <w:sz w:val="24"/>
          <w:szCs w:val="24"/>
        </w:rPr>
        <w:t>Detailed budget expenditures by functional classification, economic classification, program and source of funding classification.</w:t>
      </w:r>
    </w:p>
    <w:p w:rsidR="00384B8A" w:rsidRPr="001F29E7" w:rsidRDefault="00384B8A" w:rsidP="00384B8A">
      <w:pPr>
        <w:pStyle w:val="ListParagraph"/>
        <w:numPr>
          <w:ilvl w:val="0"/>
          <w:numId w:val="4"/>
        </w:numPr>
        <w:jc w:val="both"/>
        <w:rPr>
          <w:rFonts w:ascii="Times New Roman" w:hAnsi="Times New Roman"/>
          <w:sz w:val="24"/>
          <w:szCs w:val="24"/>
        </w:rPr>
      </w:pPr>
      <w:r w:rsidRPr="001F29E7">
        <w:rPr>
          <w:rFonts w:ascii="Times New Roman" w:hAnsi="Times New Roman"/>
          <w:sz w:val="24"/>
          <w:szCs w:val="24"/>
        </w:rPr>
        <w:t>Local Budget;</w:t>
      </w:r>
    </w:p>
    <w:p w:rsidR="00384B8A" w:rsidRPr="001F29E7" w:rsidRDefault="00384B8A" w:rsidP="00384B8A">
      <w:pPr>
        <w:pStyle w:val="ListParagraph"/>
        <w:numPr>
          <w:ilvl w:val="0"/>
          <w:numId w:val="4"/>
        </w:numPr>
        <w:jc w:val="both"/>
        <w:rPr>
          <w:rFonts w:ascii="Times New Roman" w:hAnsi="Times New Roman"/>
          <w:sz w:val="24"/>
          <w:szCs w:val="24"/>
        </w:rPr>
      </w:pPr>
      <w:r w:rsidRPr="001F29E7">
        <w:rPr>
          <w:rFonts w:ascii="Times New Roman" w:hAnsi="Times New Roman"/>
          <w:sz w:val="24"/>
          <w:szCs w:val="24"/>
        </w:rPr>
        <w:t>An analysis of the level of debt, its composition by source of funding, and the level of guarantees.</w:t>
      </w:r>
    </w:p>
    <w:p w:rsidR="00384B8A" w:rsidRPr="001F29E7" w:rsidRDefault="00384B8A" w:rsidP="00384B8A">
      <w:pPr>
        <w:pStyle w:val="ListParagraph"/>
        <w:numPr>
          <w:ilvl w:val="0"/>
          <w:numId w:val="4"/>
        </w:numPr>
        <w:jc w:val="both"/>
        <w:rPr>
          <w:rFonts w:ascii="Times New Roman" w:hAnsi="Times New Roman"/>
          <w:sz w:val="24"/>
          <w:szCs w:val="24"/>
        </w:rPr>
      </w:pPr>
      <w:r w:rsidRPr="001F29E7">
        <w:rPr>
          <w:rFonts w:ascii="Times New Roman" w:hAnsi="Times New Roman"/>
          <w:sz w:val="24"/>
          <w:szCs w:val="24"/>
        </w:rPr>
        <w:t>Contingent liabilities and possible measures.</w:t>
      </w:r>
    </w:p>
    <w:p w:rsidR="00384B8A" w:rsidRPr="001F29E7" w:rsidRDefault="00384B8A" w:rsidP="00384B8A">
      <w:pPr>
        <w:pStyle w:val="ListParagraph"/>
        <w:numPr>
          <w:ilvl w:val="0"/>
          <w:numId w:val="4"/>
        </w:numPr>
        <w:jc w:val="both"/>
        <w:rPr>
          <w:rFonts w:ascii="Times New Roman" w:hAnsi="Times New Roman"/>
          <w:sz w:val="24"/>
          <w:szCs w:val="24"/>
        </w:rPr>
      </w:pPr>
      <w:r w:rsidRPr="001F29E7">
        <w:rPr>
          <w:rFonts w:ascii="Times New Roman" w:hAnsi="Times New Roman"/>
          <w:sz w:val="24"/>
          <w:szCs w:val="24"/>
        </w:rPr>
        <w:t>Minimize the extra budgetary risk / Public Private Partnership (PPP) information on current and planned to be taken, respective annual payment from the state budget, etc.</w:t>
      </w:r>
    </w:p>
    <w:p w:rsidR="00384B8A" w:rsidRPr="001F29E7" w:rsidRDefault="00384B8A" w:rsidP="00384B8A">
      <w:pPr>
        <w:ind w:left="720"/>
        <w:jc w:val="both"/>
        <w:rPr>
          <w:rFonts w:ascii="Times New Roman" w:hAnsi="Times New Roman"/>
          <w:sz w:val="24"/>
          <w:szCs w:val="24"/>
        </w:rPr>
      </w:pPr>
      <w:r w:rsidRPr="001F29E7">
        <w:rPr>
          <w:rFonts w:ascii="Times New Roman" w:hAnsi="Times New Roman"/>
          <w:sz w:val="24"/>
          <w:szCs w:val="24"/>
        </w:rPr>
        <w:lastRenderedPageBreak/>
        <w:t>Draft Annual Package is published on the Ministry of Finance and Economy</w:t>
      </w:r>
      <w:r w:rsidR="006C7066" w:rsidRPr="001F29E7">
        <w:rPr>
          <w:rFonts w:ascii="Times New Roman" w:hAnsi="Times New Roman"/>
          <w:sz w:val="24"/>
          <w:szCs w:val="24"/>
        </w:rPr>
        <w:t xml:space="preserve"> (</w:t>
      </w:r>
      <w:proofErr w:type="spellStart"/>
      <w:r w:rsidR="006C7066" w:rsidRPr="001F29E7">
        <w:rPr>
          <w:rFonts w:ascii="Times New Roman" w:hAnsi="Times New Roman"/>
          <w:sz w:val="24"/>
          <w:szCs w:val="24"/>
        </w:rPr>
        <w:t>MoFE</w:t>
      </w:r>
      <w:proofErr w:type="spellEnd"/>
      <w:r w:rsidR="006C7066" w:rsidRPr="001F29E7">
        <w:rPr>
          <w:rFonts w:ascii="Times New Roman" w:hAnsi="Times New Roman"/>
          <w:sz w:val="24"/>
          <w:szCs w:val="24"/>
        </w:rPr>
        <w:t>)</w:t>
      </w:r>
      <w:r w:rsidRPr="001F29E7">
        <w:rPr>
          <w:rFonts w:ascii="Times New Roman" w:hAnsi="Times New Roman"/>
          <w:sz w:val="24"/>
          <w:szCs w:val="24"/>
        </w:rPr>
        <w:t xml:space="preserve"> on the link:</w:t>
      </w:r>
    </w:p>
    <w:p w:rsidR="00384B8A" w:rsidRPr="001F29E7" w:rsidRDefault="00384B8A" w:rsidP="00384B8A">
      <w:pPr>
        <w:ind w:left="720"/>
        <w:jc w:val="both"/>
        <w:rPr>
          <w:rFonts w:ascii="Times New Roman" w:hAnsi="Times New Roman"/>
          <w:sz w:val="24"/>
          <w:szCs w:val="24"/>
        </w:rPr>
      </w:pPr>
      <w:r w:rsidRPr="001F29E7">
        <w:rPr>
          <w:rFonts w:ascii="Times New Roman" w:hAnsi="Times New Roman"/>
          <w:sz w:val="24"/>
          <w:szCs w:val="24"/>
        </w:rPr>
        <w:t>https://financa.gov.al/projektbuxheti-2019/</w:t>
      </w:r>
    </w:p>
    <w:p w:rsidR="009A5F7C" w:rsidRPr="001F29E7" w:rsidRDefault="009A5F7C" w:rsidP="00011E63">
      <w:pPr>
        <w:pStyle w:val="ListParagraph"/>
        <w:numPr>
          <w:ilvl w:val="0"/>
          <w:numId w:val="3"/>
        </w:numPr>
        <w:jc w:val="both"/>
        <w:rPr>
          <w:rFonts w:ascii="Times New Roman" w:hAnsi="Times New Roman"/>
          <w:sz w:val="24"/>
          <w:szCs w:val="24"/>
        </w:rPr>
      </w:pPr>
      <w:r w:rsidRPr="001F29E7">
        <w:rPr>
          <w:rFonts w:ascii="Times New Roman" w:hAnsi="Times New Roman"/>
          <w:sz w:val="24"/>
          <w:szCs w:val="24"/>
        </w:rPr>
        <w:t>Citizen Budget</w:t>
      </w:r>
    </w:p>
    <w:p w:rsidR="00011E63" w:rsidRPr="001F29E7" w:rsidRDefault="00011E63" w:rsidP="00011E63">
      <w:pPr>
        <w:pStyle w:val="ListParagraph"/>
        <w:ind w:left="360"/>
        <w:jc w:val="both"/>
        <w:rPr>
          <w:rFonts w:ascii="Times New Roman" w:hAnsi="Times New Roman"/>
          <w:sz w:val="24"/>
          <w:szCs w:val="24"/>
        </w:rPr>
      </w:pPr>
    </w:p>
    <w:p w:rsidR="00384B8A" w:rsidRPr="001F29E7" w:rsidRDefault="00384B8A" w:rsidP="00384B8A">
      <w:pPr>
        <w:pStyle w:val="ListParagraph"/>
        <w:ind w:left="360"/>
        <w:jc w:val="both"/>
        <w:rPr>
          <w:rFonts w:ascii="Times New Roman" w:hAnsi="Times New Roman"/>
          <w:sz w:val="24"/>
          <w:szCs w:val="24"/>
        </w:rPr>
      </w:pPr>
      <w:r w:rsidRPr="001F29E7">
        <w:rPr>
          <w:rFonts w:ascii="Times New Roman" w:hAnsi="Times New Roman"/>
          <w:sz w:val="24"/>
          <w:szCs w:val="24"/>
        </w:rPr>
        <w:t>Citizens Budget for 2019 was prepared by the Ministry of Finance and Economy and published at the same time when the package of 2019 budget draft-law was send for approval to the Council of Ministers. For the preparation of this document we were assisted and supported by</w:t>
      </w:r>
      <w:r w:rsidR="006C7066" w:rsidRPr="001F29E7">
        <w:t xml:space="preserve"> </w:t>
      </w:r>
      <w:r w:rsidR="006C7066" w:rsidRPr="001F29E7">
        <w:rPr>
          <w:rFonts w:ascii="Times New Roman" w:hAnsi="Times New Roman"/>
          <w:sz w:val="24"/>
          <w:szCs w:val="24"/>
        </w:rPr>
        <w:t>Public Finance Management (PFM)</w:t>
      </w:r>
      <w:r w:rsidRPr="001F29E7">
        <w:rPr>
          <w:rFonts w:ascii="Times New Roman" w:hAnsi="Times New Roman"/>
          <w:sz w:val="24"/>
          <w:szCs w:val="24"/>
        </w:rPr>
        <w:t xml:space="preserve"> Technical Assistance (TA). The document is structured in a way that is understandable to the public. This document can be accessed in the link below:</w:t>
      </w:r>
    </w:p>
    <w:p w:rsidR="00384B8A" w:rsidRPr="001F29E7" w:rsidRDefault="00384B8A" w:rsidP="00384B8A">
      <w:pPr>
        <w:pStyle w:val="ListParagraph"/>
        <w:ind w:left="360"/>
        <w:jc w:val="both"/>
        <w:rPr>
          <w:rFonts w:ascii="Times New Roman" w:hAnsi="Times New Roman"/>
          <w:sz w:val="24"/>
          <w:szCs w:val="24"/>
        </w:rPr>
      </w:pPr>
    </w:p>
    <w:p w:rsidR="00384B8A" w:rsidRPr="001F29E7" w:rsidRDefault="00776D20" w:rsidP="00384B8A">
      <w:pPr>
        <w:pStyle w:val="ListParagraph"/>
        <w:ind w:left="360"/>
        <w:jc w:val="both"/>
        <w:rPr>
          <w:rFonts w:ascii="Times New Roman" w:hAnsi="Times New Roman"/>
          <w:sz w:val="24"/>
          <w:szCs w:val="24"/>
        </w:rPr>
      </w:pPr>
      <w:hyperlink r:id="rId12" w:history="1">
        <w:r w:rsidR="00384B8A" w:rsidRPr="001F29E7">
          <w:rPr>
            <w:rStyle w:val="Hyperlink"/>
            <w:rFonts w:ascii="Times New Roman" w:hAnsi="Times New Roman"/>
            <w:sz w:val="24"/>
            <w:szCs w:val="24"/>
          </w:rPr>
          <w:t>https://financa.gov.al/wp-content/uploads/2018/12/Web_buxheti_19.pdf</w:t>
        </w:r>
      </w:hyperlink>
    </w:p>
    <w:p w:rsidR="009A5F7C" w:rsidRPr="001F29E7" w:rsidRDefault="009A5F7C" w:rsidP="00011E63">
      <w:pPr>
        <w:pStyle w:val="ListParagraph"/>
        <w:ind w:left="360"/>
        <w:jc w:val="both"/>
        <w:rPr>
          <w:rFonts w:ascii="Times New Roman" w:hAnsi="Times New Roman"/>
          <w:sz w:val="24"/>
          <w:szCs w:val="24"/>
        </w:rPr>
      </w:pPr>
    </w:p>
    <w:p w:rsidR="009A5F7C" w:rsidRPr="001F29E7" w:rsidRDefault="009A5F7C" w:rsidP="00011E63">
      <w:pPr>
        <w:pStyle w:val="ListParagraph"/>
        <w:numPr>
          <w:ilvl w:val="0"/>
          <w:numId w:val="3"/>
        </w:numPr>
        <w:jc w:val="both"/>
        <w:rPr>
          <w:rFonts w:ascii="Times New Roman" w:hAnsi="Times New Roman"/>
          <w:sz w:val="24"/>
          <w:szCs w:val="24"/>
        </w:rPr>
      </w:pPr>
      <w:r w:rsidRPr="001F29E7">
        <w:rPr>
          <w:rFonts w:ascii="Times New Roman" w:hAnsi="Times New Roman"/>
          <w:sz w:val="24"/>
          <w:szCs w:val="24"/>
        </w:rPr>
        <w:t>Enacted Budget</w:t>
      </w:r>
    </w:p>
    <w:p w:rsidR="00384B8A" w:rsidRPr="001F29E7" w:rsidRDefault="00384B8A" w:rsidP="00384B8A">
      <w:pPr>
        <w:pStyle w:val="ListParagraph"/>
        <w:ind w:left="360"/>
        <w:jc w:val="both"/>
        <w:rPr>
          <w:rFonts w:ascii="Times New Roman" w:hAnsi="Times New Roman"/>
          <w:sz w:val="24"/>
          <w:szCs w:val="24"/>
        </w:rPr>
      </w:pPr>
      <w:r w:rsidRPr="001F29E7">
        <w:rPr>
          <w:rFonts w:ascii="Times New Roman" w:hAnsi="Times New Roman"/>
          <w:sz w:val="24"/>
          <w:szCs w:val="24"/>
        </w:rPr>
        <w:t>The complete package of the approved budget for 2019 can be accessed at the following link:</w:t>
      </w:r>
    </w:p>
    <w:p w:rsidR="00384B8A" w:rsidRPr="001F29E7" w:rsidRDefault="00384B8A" w:rsidP="00384B8A">
      <w:pPr>
        <w:pStyle w:val="ListParagraph"/>
        <w:ind w:left="360"/>
        <w:jc w:val="both"/>
        <w:rPr>
          <w:rFonts w:ascii="Times New Roman" w:hAnsi="Times New Roman"/>
          <w:sz w:val="24"/>
          <w:szCs w:val="24"/>
        </w:rPr>
      </w:pPr>
    </w:p>
    <w:p w:rsidR="00384B8A" w:rsidRPr="001F29E7" w:rsidRDefault="00776D20" w:rsidP="00384B8A">
      <w:pPr>
        <w:pStyle w:val="ListParagraph"/>
        <w:ind w:left="360"/>
        <w:jc w:val="both"/>
        <w:rPr>
          <w:rFonts w:ascii="Times New Roman" w:hAnsi="Times New Roman"/>
          <w:sz w:val="24"/>
          <w:szCs w:val="24"/>
        </w:rPr>
      </w:pPr>
      <w:hyperlink r:id="rId13" w:history="1">
        <w:r w:rsidR="00384B8A" w:rsidRPr="001F29E7">
          <w:rPr>
            <w:rStyle w:val="Hyperlink"/>
            <w:rFonts w:ascii="Times New Roman" w:hAnsi="Times New Roman"/>
            <w:sz w:val="24"/>
            <w:szCs w:val="24"/>
          </w:rPr>
          <w:t>https://financa.gov.al/buxheti-2019-fillestar/</w:t>
        </w:r>
      </w:hyperlink>
    </w:p>
    <w:p w:rsidR="00384B8A" w:rsidRPr="001F29E7" w:rsidRDefault="00384B8A" w:rsidP="00384B8A">
      <w:pPr>
        <w:pStyle w:val="ListParagraph"/>
        <w:ind w:left="360"/>
        <w:jc w:val="both"/>
        <w:rPr>
          <w:rFonts w:ascii="Times New Roman" w:hAnsi="Times New Roman"/>
          <w:sz w:val="24"/>
          <w:szCs w:val="24"/>
        </w:rPr>
      </w:pPr>
    </w:p>
    <w:p w:rsidR="00384B8A" w:rsidRPr="001F29E7" w:rsidRDefault="00384B8A" w:rsidP="00384B8A">
      <w:pPr>
        <w:pStyle w:val="ListParagraph"/>
        <w:ind w:left="360"/>
        <w:jc w:val="both"/>
        <w:rPr>
          <w:rFonts w:ascii="Times New Roman" w:hAnsi="Times New Roman"/>
          <w:sz w:val="24"/>
          <w:szCs w:val="24"/>
        </w:rPr>
      </w:pPr>
      <w:r w:rsidRPr="001F29E7">
        <w:rPr>
          <w:rFonts w:ascii="Times New Roman" w:hAnsi="Times New Roman"/>
          <w:sz w:val="24"/>
          <w:szCs w:val="24"/>
        </w:rPr>
        <w:t>Also, complete packages of the revised budget law for 2018 (Normative Act n.1 and nro.2) are published and can be accessed in the link below.</w:t>
      </w:r>
    </w:p>
    <w:p w:rsidR="00384B8A" w:rsidRPr="001F29E7" w:rsidRDefault="00384B8A" w:rsidP="00384B8A">
      <w:pPr>
        <w:pStyle w:val="ListParagraph"/>
        <w:ind w:left="360"/>
        <w:jc w:val="both"/>
        <w:rPr>
          <w:rFonts w:ascii="Times New Roman" w:hAnsi="Times New Roman"/>
          <w:sz w:val="24"/>
          <w:szCs w:val="24"/>
        </w:rPr>
      </w:pPr>
    </w:p>
    <w:p w:rsidR="00384B8A" w:rsidRPr="001F29E7" w:rsidRDefault="00776D20" w:rsidP="00384B8A">
      <w:pPr>
        <w:pStyle w:val="ListParagraph"/>
        <w:ind w:left="360"/>
        <w:jc w:val="both"/>
        <w:rPr>
          <w:rFonts w:ascii="Times New Roman" w:hAnsi="Times New Roman"/>
          <w:sz w:val="24"/>
          <w:szCs w:val="24"/>
        </w:rPr>
      </w:pPr>
      <w:hyperlink r:id="rId14" w:history="1">
        <w:r w:rsidR="00384B8A" w:rsidRPr="001F29E7">
          <w:rPr>
            <w:rStyle w:val="Hyperlink"/>
            <w:rFonts w:ascii="Times New Roman" w:hAnsi="Times New Roman"/>
            <w:sz w:val="24"/>
            <w:szCs w:val="24"/>
          </w:rPr>
          <w:t>https://financa.gov.al/buxheti-2018/</w:t>
        </w:r>
      </w:hyperlink>
    </w:p>
    <w:p w:rsidR="009A5F7C" w:rsidRPr="001F29E7" w:rsidRDefault="009A5F7C" w:rsidP="00011E63">
      <w:pPr>
        <w:pStyle w:val="ListParagraph"/>
        <w:ind w:left="360"/>
        <w:jc w:val="both"/>
        <w:rPr>
          <w:rFonts w:ascii="Times New Roman" w:hAnsi="Times New Roman"/>
          <w:sz w:val="24"/>
          <w:szCs w:val="24"/>
        </w:rPr>
      </w:pPr>
    </w:p>
    <w:p w:rsidR="009A5F7C" w:rsidRPr="001F29E7" w:rsidRDefault="009A5F7C" w:rsidP="00011E63">
      <w:pPr>
        <w:pStyle w:val="ListParagraph"/>
        <w:numPr>
          <w:ilvl w:val="0"/>
          <w:numId w:val="3"/>
        </w:numPr>
        <w:jc w:val="both"/>
        <w:rPr>
          <w:rFonts w:ascii="Times New Roman" w:hAnsi="Times New Roman"/>
          <w:sz w:val="24"/>
          <w:szCs w:val="24"/>
        </w:rPr>
      </w:pPr>
      <w:r w:rsidRPr="001F29E7">
        <w:rPr>
          <w:rFonts w:ascii="Times New Roman" w:hAnsi="Times New Roman"/>
          <w:sz w:val="24"/>
          <w:szCs w:val="24"/>
        </w:rPr>
        <w:t>In-year Reports</w:t>
      </w:r>
    </w:p>
    <w:p w:rsidR="00CF15E3" w:rsidRPr="001F29E7" w:rsidRDefault="00CF15E3" w:rsidP="00CF15E3">
      <w:pPr>
        <w:pStyle w:val="s22"/>
        <w:spacing w:before="0" w:beforeAutospacing="0" w:after="150" w:afterAutospacing="0"/>
        <w:ind w:left="360"/>
        <w:rPr>
          <w:rFonts w:ascii="Times New Roman" w:eastAsia="MS Mincho" w:hAnsi="Times New Roman"/>
          <w:sz w:val="24"/>
          <w:szCs w:val="24"/>
        </w:rPr>
      </w:pPr>
      <w:r w:rsidRPr="001F29E7">
        <w:rPr>
          <w:rFonts w:ascii="Times New Roman" w:eastAsia="MS Mincho" w:hAnsi="Times New Roman"/>
          <w:sz w:val="24"/>
          <w:szCs w:val="24"/>
        </w:rPr>
        <w:t>Monthly reports of income and expenditure at aggregate level and entity-level are prepared and can be accessed at the following link:</w:t>
      </w:r>
    </w:p>
    <w:p w:rsidR="00384B8A" w:rsidRPr="001F29E7" w:rsidRDefault="00776D20" w:rsidP="00384B8A">
      <w:pPr>
        <w:pStyle w:val="s22"/>
        <w:spacing w:before="0" w:beforeAutospacing="0" w:after="150" w:afterAutospacing="0"/>
        <w:ind w:left="360"/>
        <w:rPr>
          <w:rFonts w:ascii="Times New Roman" w:eastAsia="MS Mincho" w:hAnsi="Times New Roman"/>
          <w:sz w:val="24"/>
          <w:szCs w:val="24"/>
        </w:rPr>
      </w:pPr>
      <w:hyperlink r:id="rId15" w:history="1">
        <w:r w:rsidR="006C7066" w:rsidRPr="001F29E7">
          <w:rPr>
            <w:rStyle w:val="Hyperlink"/>
            <w:rFonts w:ascii="Times New Roman" w:eastAsia="MS Mincho" w:hAnsi="Times New Roman"/>
            <w:sz w:val="24"/>
            <w:szCs w:val="24"/>
          </w:rPr>
          <w:t>https://financa.gov.al/3014-2/</w:t>
        </w:r>
      </w:hyperlink>
      <w:r w:rsidR="006C7066" w:rsidRPr="001F29E7">
        <w:rPr>
          <w:rFonts w:ascii="Times New Roman" w:eastAsia="MS Mincho" w:hAnsi="Times New Roman"/>
          <w:sz w:val="24"/>
          <w:szCs w:val="24"/>
        </w:rPr>
        <w:t xml:space="preserve"> </w:t>
      </w:r>
    </w:p>
    <w:p w:rsidR="00CF15E3" w:rsidRPr="001F29E7" w:rsidRDefault="00CF15E3" w:rsidP="00CF15E3">
      <w:pPr>
        <w:pStyle w:val="s22"/>
        <w:spacing w:before="0" w:beforeAutospacing="0" w:after="150" w:afterAutospacing="0" w:line="276" w:lineRule="auto"/>
        <w:ind w:left="360"/>
        <w:jc w:val="both"/>
        <w:rPr>
          <w:rFonts w:ascii="Times New Roman" w:eastAsia="MS Mincho" w:hAnsi="Times New Roman"/>
          <w:sz w:val="24"/>
          <w:szCs w:val="24"/>
        </w:rPr>
      </w:pPr>
      <w:r w:rsidRPr="001F29E7">
        <w:rPr>
          <w:rFonts w:ascii="Times New Roman" w:eastAsia="MS Mincho" w:hAnsi="Times New Roman"/>
          <w:sz w:val="24"/>
          <w:szCs w:val="24"/>
        </w:rPr>
        <w:t xml:space="preserve">Based on the above-mentioned consolidated fiscal indicators, a narrative monthly analysis is prepared and published within the half of the upcoming month. It focuses in </w:t>
      </w:r>
      <w:proofErr w:type="gramStart"/>
      <w:r w:rsidRPr="001F29E7">
        <w:rPr>
          <w:rFonts w:ascii="Times New Roman" w:eastAsia="MS Mincho" w:hAnsi="Times New Roman"/>
          <w:sz w:val="24"/>
          <w:szCs w:val="24"/>
        </w:rPr>
        <w:t>analyzing both,</w:t>
      </w:r>
      <w:proofErr w:type="gramEnd"/>
      <w:r w:rsidRPr="001F29E7">
        <w:rPr>
          <w:rFonts w:ascii="Times New Roman" w:eastAsia="MS Mincho" w:hAnsi="Times New Roman"/>
          <w:sz w:val="24"/>
          <w:szCs w:val="24"/>
        </w:rPr>
        <w:t xml:space="preserve"> consolidated expenditure and revenue main items, their progressive fiscal and budget performance, compared to their monthly registered actual levels.</w:t>
      </w:r>
    </w:p>
    <w:p w:rsidR="00CF15E3" w:rsidRPr="001F29E7" w:rsidRDefault="00CF15E3" w:rsidP="00011E63">
      <w:pPr>
        <w:pStyle w:val="ListParagraph"/>
        <w:ind w:left="360"/>
        <w:jc w:val="both"/>
        <w:rPr>
          <w:rFonts w:ascii="Times New Roman" w:hAnsi="Times New Roman"/>
          <w:sz w:val="24"/>
          <w:szCs w:val="24"/>
        </w:rPr>
      </w:pPr>
    </w:p>
    <w:p w:rsidR="00CF15E3" w:rsidRPr="001F29E7" w:rsidRDefault="009A5F7C" w:rsidP="00CF15E3">
      <w:pPr>
        <w:pStyle w:val="ListParagraph"/>
        <w:numPr>
          <w:ilvl w:val="0"/>
          <w:numId w:val="3"/>
        </w:numPr>
        <w:jc w:val="both"/>
        <w:rPr>
          <w:rFonts w:ascii="Times New Roman" w:hAnsi="Times New Roman"/>
          <w:sz w:val="24"/>
          <w:szCs w:val="24"/>
        </w:rPr>
      </w:pPr>
      <w:r w:rsidRPr="001F29E7">
        <w:rPr>
          <w:rFonts w:ascii="Times New Roman" w:hAnsi="Times New Roman"/>
          <w:sz w:val="24"/>
          <w:szCs w:val="24"/>
        </w:rPr>
        <w:t xml:space="preserve">Mid-year Report </w:t>
      </w:r>
    </w:p>
    <w:p w:rsidR="00384B8A" w:rsidRPr="001F29E7" w:rsidRDefault="00384B8A" w:rsidP="00384B8A">
      <w:pPr>
        <w:pStyle w:val="s22"/>
        <w:spacing w:before="0" w:beforeAutospacing="0" w:after="150" w:afterAutospacing="0" w:line="276" w:lineRule="auto"/>
        <w:ind w:left="360"/>
        <w:jc w:val="both"/>
        <w:rPr>
          <w:rFonts w:ascii="Times New Roman" w:eastAsia="MS Mincho" w:hAnsi="Times New Roman"/>
          <w:sz w:val="24"/>
          <w:szCs w:val="24"/>
        </w:rPr>
      </w:pPr>
      <w:r w:rsidRPr="001F29E7">
        <w:rPr>
          <w:rFonts w:ascii="Times New Roman" w:eastAsia="MS Mincho" w:hAnsi="Times New Roman"/>
          <w:sz w:val="24"/>
          <w:szCs w:val="24"/>
        </w:rPr>
        <w:t>Mid-year Report for 2018 has been prepared and published in the</w:t>
      </w:r>
      <w:r w:rsidR="006C7066" w:rsidRPr="001F29E7">
        <w:rPr>
          <w:rFonts w:ascii="Times New Roman" w:eastAsia="MS Mincho" w:hAnsi="Times New Roman"/>
          <w:sz w:val="24"/>
          <w:szCs w:val="24"/>
        </w:rPr>
        <w:t xml:space="preserve"> </w:t>
      </w:r>
      <w:proofErr w:type="spellStart"/>
      <w:r w:rsidR="006C7066" w:rsidRPr="001F29E7">
        <w:rPr>
          <w:rFonts w:ascii="Times New Roman" w:eastAsia="MS Mincho" w:hAnsi="Times New Roman"/>
          <w:sz w:val="24"/>
          <w:szCs w:val="24"/>
        </w:rPr>
        <w:t>MoFE</w:t>
      </w:r>
      <w:proofErr w:type="spellEnd"/>
      <w:r w:rsidRPr="001F29E7">
        <w:rPr>
          <w:rFonts w:ascii="Times New Roman" w:eastAsia="MS Mincho" w:hAnsi="Times New Roman"/>
          <w:sz w:val="24"/>
          <w:szCs w:val="24"/>
        </w:rPr>
        <w:t xml:space="preserve"> webpage. Covering the budget and fiscal performance of the year’ first half, it is going to be a permanent document prepared on a yearly basis, which can be accessed at the following link:</w:t>
      </w:r>
    </w:p>
    <w:p w:rsidR="00384B8A" w:rsidRPr="001F29E7" w:rsidRDefault="00776D20" w:rsidP="00384B8A">
      <w:pPr>
        <w:pStyle w:val="s22"/>
        <w:spacing w:before="0" w:beforeAutospacing="0" w:after="150" w:afterAutospacing="0"/>
        <w:ind w:left="360"/>
        <w:rPr>
          <w:rFonts w:ascii="Times New Roman" w:eastAsia="MS Mincho" w:hAnsi="Times New Roman"/>
          <w:sz w:val="24"/>
          <w:szCs w:val="24"/>
          <w:u w:val="single"/>
        </w:rPr>
      </w:pPr>
      <w:hyperlink r:id="rId16" w:history="1">
        <w:r w:rsidR="00A85A1B" w:rsidRPr="001F4710">
          <w:rPr>
            <w:rStyle w:val="Hyperlink"/>
            <w:rFonts w:ascii="Times New Roman" w:eastAsia="MS Mincho" w:hAnsi="Times New Roman"/>
            <w:sz w:val="24"/>
            <w:szCs w:val="24"/>
          </w:rPr>
          <w:t>https://financa.gov.al/raporti-i-mes-vitit-mbi-zbatimin-e-buxhetit-2018/</w:t>
        </w:r>
      </w:hyperlink>
      <w:r w:rsidR="00A85A1B">
        <w:rPr>
          <w:rFonts w:ascii="Times New Roman" w:eastAsia="MS Mincho" w:hAnsi="Times New Roman"/>
          <w:sz w:val="24"/>
          <w:szCs w:val="24"/>
          <w:u w:val="single"/>
        </w:rPr>
        <w:t xml:space="preserve"> </w:t>
      </w:r>
    </w:p>
    <w:p w:rsidR="00CF15E3" w:rsidRPr="001F29E7" w:rsidRDefault="00CF15E3" w:rsidP="00CF15E3">
      <w:pPr>
        <w:pStyle w:val="s22"/>
        <w:spacing w:before="0" w:beforeAutospacing="0" w:after="150" w:afterAutospacing="0"/>
        <w:ind w:left="270"/>
        <w:rPr>
          <w:rStyle w:val="Hyperlink"/>
          <w:rFonts w:ascii="Times New Roman" w:eastAsia="MS Mincho" w:hAnsi="Times New Roman"/>
          <w:color w:val="auto"/>
          <w:sz w:val="24"/>
          <w:szCs w:val="24"/>
        </w:rPr>
      </w:pPr>
    </w:p>
    <w:p w:rsidR="00384B8A" w:rsidRPr="001F29E7" w:rsidRDefault="00384B8A" w:rsidP="00384B8A">
      <w:pPr>
        <w:pStyle w:val="ListParagraph"/>
        <w:numPr>
          <w:ilvl w:val="0"/>
          <w:numId w:val="3"/>
        </w:numPr>
        <w:jc w:val="both"/>
        <w:rPr>
          <w:rFonts w:ascii="Times New Roman" w:hAnsi="Times New Roman"/>
          <w:sz w:val="24"/>
          <w:szCs w:val="24"/>
        </w:rPr>
      </w:pPr>
      <w:r w:rsidRPr="001F29E7">
        <w:rPr>
          <w:rFonts w:ascii="Times New Roman" w:hAnsi="Times New Roman"/>
          <w:sz w:val="24"/>
          <w:szCs w:val="24"/>
        </w:rPr>
        <w:t xml:space="preserve">Year-end Report – The other-wisely called “Annual Consolidated Budget Report”, analyzes the annual performance of the Government finances for the past year. For year 2018, based on the legal deadline, this report is in progress since it should be prepared and submitted for approval to the </w:t>
      </w:r>
      <w:proofErr w:type="spellStart"/>
      <w:r w:rsidRPr="001F29E7">
        <w:rPr>
          <w:rFonts w:ascii="Times New Roman" w:hAnsi="Times New Roman"/>
          <w:sz w:val="24"/>
          <w:szCs w:val="24"/>
        </w:rPr>
        <w:t>CoM</w:t>
      </w:r>
      <w:proofErr w:type="spellEnd"/>
      <w:r w:rsidRPr="001F29E7">
        <w:rPr>
          <w:rFonts w:ascii="Times New Roman" w:hAnsi="Times New Roman"/>
          <w:sz w:val="24"/>
          <w:szCs w:val="24"/>
        </w:rPr>
        <w:t xml:space="preserve"> within the </w:t>
      </w:r>
      <w:r w:rsidRPr="001F29E7">
        <w:rPr>
          <w:rFonts w:ascii="Times New Roman" w:hAnsi="Times New Roman"/>
          <w:b/>
          <w:sz w:val="24"/>
          <w:szCs w:val="24"/>
        </w:rPr>
        <w:t>end of May 2019</w:t>
      </w:r>
      <w:r w:rsidRPr="001F29E7">
        <w:rPr>
          <w:rFonts w:ascii="Times New Roman" w:hAnsi="Times New Roman"/>
          <w:sz w:val="24"/>
          <w:szCs w:val="24"/>
        </w:rPr>
        <w:t xml:space="preserve">, and subsequently to the Assembly for final approval by a specific law. </w:t>
      </w:r>
    </w:p>
    <w:p w:rsidR="00CF15E3" w:rsidRPr="001F29E7" w:rsidRDefault="00CF15E3" w:rsidP="00384B8A">
      <w:pPr>
        <w:pStyle w:val="ListParagraph"/>
        <w:ind w:left="360"/>
        <w:jc w:val="both"/>
        <w:rPr>
          <w:rStyle w:val="Hyperlink"/>
          <w:rFonts w:ascii="Times New Roman" w:hAnsi="Times New Roman"/>
          <w:color w:val="auto"/>
          <w:sz w:val="24"/>
          <w:szCs w:val="24"/>
          <w:u w:val="none"/>
        </w:rPr>
      </w:pPr>
      <w:r w:rsidRPr="001F29E7">
        <w:rPr>
          <w:rFonts w:ascii="Times New Roman" w:hAnsi="Times New Roman"/>
          <w:sz w:val="24"/>
          <w:szCs w:val="24"/>
        </w:rPr>
        <w:t xml:space="preserve">These reports can be accessed on the following link: </w:t>
      </w:r>
      <w:hyperlink r:id="rId17" w:history="1">
        <w:r w:rsidRPr="001F29E7">
          <w:rPr>
            <w:rStyle w:val="Hyperlink"/>
            <w:rFonts w:ascii="Times New Roman" w:hAnsi="Times New Roman"/>
            <w:color w:val="auto"/>
            <w:sz w:val="24"/>
            <w:szCs w:val="24"/>
          </w:rPr>
          <w:t>http://www.financa.gov.al/al/raportime/buxheti/buxheti-ne-vite/buxheti-faktik-nder-vite</w:t>
        </w:r>
      </w:hyperlink>
      <w:r w:rsidR="00A85A1B">
        <w:rPr>
          <w:rStyle w:val="Hyperlink"/>
          <w:rFonts w:ascii="Times New Roman" w:hAnsi="Times New Roman"/>
          <w:color w:val="auto"/>
          <w:sz w:val="24"/>
          <w:szCs w:val="24"/>
        </w:rPr>
        <w:t xml:space="preserve"> </w:t>
      </w:r>
    </w:p>
    <w:p w:rsidR="00CF15E3" w:rsidRPr="001F29E7" w:rsidRDefault="00CF15E3" w:rsidP="00CF15E3">
      <w:pPr>
        <w:pStyle w:val="ListParagraph"/>
        <w:ind w:left="360"/>
        <w:jc w:val="both"/>
        <w:rPr>
          <w:rFonts w:ascii="Times New Roman" w:hAnsi="Times New Roman"/>
          <w:sz w:val="24"/>
          <w:szCs w:val="24"/>
        </w:rPr>
      </w:pPr>
    </w:p>
    <w:p w:rsidR="006D6C3E" w:rsidRPr="001F29E7" w:rsidRDefault="009A5F7C" w:rsidP="00CF15E3">
      <w:pPr>
        <w:pStyle w:val="ListParagraph"/>
        <w:numPr>
          <w:ilvl w:val="0"/>
          <w:numId w:val="3"/>
        </w:numPr>
        <w:jc w:val="both"/>
        <w:rPr>
          <w:rFonts w:ascii="Times New Roman" w:hAnsi="Times New Roman"/>
          <w:sz w:val="24"/>
          <w:szCs w:val="24"/>
        </w:rPr>
      </w:pPr>
      <w:r w:rsidRPr="001F29E7">
        <w:rPr>
          <w:rFonts w:ascii="Times New Roman" w:hAnsi="Times New Roman"/>
          <w:sz w:val="24"/>
          <w:szCs w:val="24"/>
        </w:rPr>
        <w:t>Audit Report – In progress (will be published within October 201</w:t>
      </w:r>
      <w:r w:rsidR="00384B8A" w:rsidRPr="001F29E7">
        <w:rPr>
          <w:rFonts w:ascii="Times New Roman" w:hAnsi="Times New Roman"/>
          <w:sz w:val="24"/>
          <w:szCs w:val="24"/>
        </w:rPr>
        <w:t>9</w:t>
      </w:r>
      <w:r w:rsidRPr="001F29E7">
        <w:rPr>
          <w:rFonts w:ascii="Times New Roman" w:hAnsi="Times New Roman"/>
          <w:sz w:val="24"/>
          <w:szCs w:val="24"/>
        </w:rPr>
        <w:t>).</w:t>
      </w:r>
    </w:p>
    <w:p w:rsidR="006D6C3E" w:rsidRPr="001F29E7" w:rsidRDefault="006D6C3E" w:rsidP="006D6C3E">
      <w:pPr>
        <w:jc w:val="both"/>
        <w:rPr>
          <w:rFonts w:ascii="Times New Roman" w:hAnsi="Times New Roman"/>
          <w:sz w:val="24"/>
          <w:szCs w:val="24"/>
        </w:rPr>
      </w:pPr>
      <w:r w:rsidRPr="001F29E7">
        <w:rPr>
          <w:rFonts w:ascii="Times New Roman" w:hAnsi="Times New Roman"/>
          <w:sz w:val="24"/>
          <w:szCs w:val="24"/>
        </w:rPr>
        <w:t>Also, other important reports prepared and published are:</w:t>
      </w:r>
    </w:p>
    <w:p w:rsidR="006D6C3E" w:rsidRPr="001F29E7" w:rsidRDefault="006D6C3E" w:rsidP="006D6C3E">
      <w:pPr>
        <w:pStyle w:val="ListParagraph"/>
        <w:numPr>
          <w:ilvl w:val="0"/>
          <w:numId w:val="10"/>
        </w:numPr>
        <w:ind w:left="0" w:firstLine="360"/>
        <w:jc w:val="both"/>
        <w:rPr>
          <w:rStyle w:val="Hyperlink"/>
          <w:color w:val="auto"/>
        </w:rPr>
      </w:pPr>
      <w:r w:rsidRPr="001F29E7">
        <w:rPr>
          <w:rFonts w:ascii="Times New Roman" w:hAnsi="Times New Roman"/>
          <w:sz w:val="24"/>
          <w:szCs w:val="24"/>
        </w:rPr>
        <w:t>201</w:t>
      </w:r>
      <w:r w:rsidR="00384B8A" w:rsidRPr="001F29E7">
        <w:rPr>
          <w:rFonts w:ascii="Times New Roman" w:hAnsi="Times New Roman"/>
          <w:sz w:val="24"/>
          <w:szCs w:val="24"/>
        </w:rPr>
        <w:t>8</w:t>
      </w:r>
      <w:r w:rsidRPr="001F29E7">
        <w:rPr>
          <w:rFonts w:ascii="Times New Roman" w:hAnsi="Times New Roman"/>
          <w:sz w:val="24"/>
          <w:szCs w:val="24"/>
        </w:rPr>
        <w:t xml:space="preserve"> Budget Performance Monitoring Reports - These 4-months based reports are published periodically on the official website of each line ministry and institution. </w:t>
      </w:r>
      <w:r w:rsidR="00384B8A" w:rsidRPr="001F29E7">
        <w:rPr>
          <w:rFonts w:ascii="Times New Roman" w:hAnsi="Times New Roman"/>
          <w:sz w:val="24"/>
          <w:szCs w:val="24"/>
        </w:rPr>
        <w:t>I</w:t>
      </w:r>
      <w:r w:rsidRPr="001F29E7">
        <w:rPr>
          <w:rFonts w:ascii="Times New Roman" w:hAnsi="Times New Roman"/>
          <w:sz w:val="24"/>
          <w:szCs w:val="24"/>
        </w:rPr>
        <w:t xml:space="preserve">n the MFE’s website are also published all the DMB’s Analysis Reports of the performance monitoring (periodic and annual) for </w:t>
      </w:r>
      <w:r w:rsidR="006C7066" w:rsidRPr="001F29E7">
        <w:rPr>
          <w:rFonts w:ascii="Times New Roman" w:hAnsi="Times New Roman"/>
          <w:sz w:val="24"/>
          <w:szCs w:val="24"/>
        </w:rPr>
        <w:t>each LMs</w:t>
      </w:r>
      <w:r w:rsidRPr="001F29E7">
        <w:rPr>
          <w:rFonts w:ascii="Times New Roman" w:hAnsi="Times New Roman"/>
          <w:sz w:val="24"/>
          <w:szCs w:val="24"/>
        </w:rPr>
        <w:t xml:space="preserve">, together with their respective links. The </w:t>
      </w:r>
      <w:proofErr w:type="spellStart"/>
      <w:r w:rsidRPr="001F29E7">
        <w:rPr>
          <w:rFonts w:ascii="Times New Roman" w:hAnsi="Times New Roman"/>
          <w:sz w:val="24"/>
          <w:szCs w:val="24"/>
        </w:rPr>
        <w:t>MoFE’s</w:t>
      </w:r>
      <w:proofErr w:type="spellEnd"/>
      <w:r w:rsidRPr="001F29E7">
        <w:rPr>
          <w:rFonts w:ascii="Times New Roman" w:hAnsi="Times New Roman"/>
          <w:sz w:val="24"/>
          <w:szCs w:val="24"/>
        </w:rPr>
        <w:t xml:space="preserve"> analysis, containing specific recommendations and suggestions, are officially sent to each LM, based on the above mentioned Guideline. The links are shown below: </w:t>
      </w:r>
      <w:hyperlink r:id="rId18" w:history="1">
        <w:r w:rsidRPr="001F29E7">
          <w:rPr>
            <w:rStyle w:val="Hyperlink"/>
            <w:rFonts w:ascii="Times New Roman" w:hAnsi="Times New Roman"/>
            <w:color w:val="auto"/>
            <w:sz w:val="24"/>
            <w:szCs w:val="24"/>
          </w:rPr>
          <w:t>http://www.financa.gov.al/al/raportime/buxheti/raporte-monitorimi</w:t>
        </w:r>
      </w:hyperlink>
      <w:r w:rsidR="00A85A1B">
        <w:rPr>
          <w:rStyle w:val="Hyperlink"/>
          <w:rFonts w:ascii="Times New Roman" w:hAnsi="Times New Roman"/>
          <w:color w:val="auto"/>
          <w:sz w:val="24"/>
          <w:szCs w:val="24"/>
        </w:rPr>
        <w:t xml:space="preserve"> </w:t>
      </w:r>
    </w:p>
    <w:p w:rsidR="006D6C3E" w:rsidRPr="001F29E7" w:rsidRDefault="006D6C3E" w:rsidP="006D6C3E">
      <w:pPr>
        <w:pStyle w:val="ListParagraph"/>
        <w:ind w:left="360"/>
        <w:jc w:val="both"/>
        <w:rPr>
          <w:rStyle w:val="Hyperlink"/>
          <w:color w:val="auto"/>
        </w:rPr>
      </w:pPr>
    </w:p>
    <w:p w:rsidR="009A5F7C" w:rsidRPr="001F29E7" w:rsidRDefault="006D6C3E" w:rsidP="00011E63">
      <w:pPr>
        <w:pStyle w:val="ListParagraph"/>
        <w:numPr>
          <w:ilvl w:val="0"/>
          <w:numId w:val="10"/>
        </w:numPr>
        <w:ind w:left="0" w:firstLine="360"/>
        <w:jc w:val="both"/>
        <w:rPr>
          <w:rStyle w:val="Hyperlink"/>
          <w:color w:val="auto"/>
        </w:rPr>
      </w:pPr>
      <w:r w:rsidRPr="001F29E7">
        <w:rPr>
          <w:rFonts w:ascii="Times New Roman" w:hAnsi="Times New Roman"/>
          <w:sz w:val="24"/>
          <w:szCs w:val="24"/>
        </w:rPr>
        <w:t>201</w:t>
      </w:r>
      <w:r w:rsidR="00384B8A" w:rsidRPr="001F29E7">
        <w:rPr>
          <w:rFonts w:ascii="Times New Roman" w:hAnsi="Times New Roman"/>
          <w:sz w:val="24"/>
          <w:szCs w:val="24"/>
        </w:rPr>
        <w:t>8</w:t>
      </w:r>
      <w:r w:rsidRPr="001F29E7">
        <w:rPr>
          <w:rFonts w:ascii="Times New Roman" w:hAnsi="Times New Roman"/>
          <w:sz w:val="24"/>
          <w:szCs w:val="24"/>
        </w:rPr>
        <w:t xml:space="preserve"> Periodic Reports on Arrears Monitoring - </w:t>
      </w:r>
      <w:r w:rsidR="00384B8A" w:rsidRPr="001F29E7">
        <w:rPr>
          <w:rFonts w:ascii="Times New Roman" w:hAnsi="Times New Roman"/>
          <w:sz w:val="24"/>
          <w:szCs w:val="24"/>
        </w:rPr>
        <w:t>T</w:t>
      </w:r>
      <w:r w:rsidRPr="001F29E7">
        <w:rPr>
          <w:rFonts w:ascii="Times New Roman" w:hAnsi="Times New Roman"/>
          <w:sz w:val="24"/>
          <w:szCs w:val="24"/>
        </w:rPr>
        <w:t xml:space="preserve">hese </w:t>
      </w:r>
      <w:r w:rsidR="00384B8A" w:rsidRPr="001F29E7">
        <w:rPr>
          <w:rFonts w:ascii="Times New Roman" w:hAnsi="Times New Roman"/>
          <w:sz w:val="24"/>
          <w:szCs w:val="24"/>
        </w:rPr>
        <w:t xml:space="preserve">4-months based reports </w:t>
      </w:r>
      <w:r w:rsidRPr="001F29E7">
        <w:rPr>
          <w:rFonts w:ascii="Times New Roman" w:hAnsi="Times New Roman"/>
          <w:sz w:val="24"/>
          <w:szCs w:val="24"/>
        </w:rPr>
        <w:t xml:space="preserve">include progressive data broken-down by each LMs and a short analysis of the newly created arrears. The arrears monitoring system in place aims to properly capture the size, maturity, and composition of the stock of arrears. Both, the periodic and annual progressive monitoring reports, are regularly published on the </w:t>
      </w:r>
      <w:proofErr w:type="spellStart"/>
      <w:r w:rsidRPr="001F29E7">
        <w:rPr>
          <w:rFonts w:ascii="Times New Roman" w:hAnsi="Times New Roman"/>
          <w:sz w:val="24"/>
          <w:szCs w:val="24"/>
        </w:rPr>
        <w:t>MoFEs</w:t>
      </w:r>
      <w:proofErr w:type="spellEnd"/>
      <w:r w:rsidRPr="001F29E7">
        <w:rPr>
          <w:rFonts w:ascii="Times New Roman" w:hAnsi="Times New Roman"/>
          <w:sz w:val="24"/>
          <w:szCs w:val="24"/>
        </w:rPr>
        <w:t xml:space="preserve"> official website, following the below link: </w:t>
      </w:r>
      <w:hyperlink r:id="rId19" w:history="1">
        <w:r w:rsidRPr="001F29E7">
          <w:rPr>
            <w:rStyle w:val="Hyperlink"/>
            <w:rFonts w:ascii="Times New Roman" w:hAnsi="Times New Roman"/>
            <w:color w:val="auto"/>
            <w:sz w:val="24"/>
            <w:szCs w:val="24"/>
          </w:rPr>
          <w:t>http://www.financa.gov.al/al/raportime/shlyerja-e-detyrimeve-te-prapambetura</w:t>
        </w:r>
      </w:hyperlink>
      <w:r w:rsidRPr="001F29E7">
        <w:rPr>
          <w:rStyle w:val="Hyperlink"/>
          <w:color w:val="auto"/>
        </w:rPr>
        <w:t xml:space="preserve"> </w:t>
      </w:r>
      <w:r w:rsidR="00A85A1B">
        <w:rPr>
          <w:rStyle w:val="Hyperlink"/>
          <w:color w:val="auto"/>
        </w:rPr>
        <w:t xml:space="preserve"> </w:t>
      </w:r>
    </w:p>
    <w:p w:rsidR="00DB1C42" w:rsidRPr="001F29E7" w:rsidRDefault="00DB1C42" w:rsidP="00011E63">
      <w:pPr>
        <w:jc w:val="both"/>
        <w:rPr>
          <w:rFonts w:ascii="Times New Roman" w:hAnsi="Times New Roman"/>
          <w:b/>
          <w:sz w:val="24"/>
          <w:szCs w:val="24"/>
        </w:rPr>
      </w:pPr>
    </w:p>
    <w:p w:rsidR="00384B8A" w:rsidRPr="001F29E7" w:rsidRDefault="00384B8A" w:rsidP="00384B8A">
      <w:pPr>
        <w:jc w:val="both"/>
        <w:rPr>
          <w:rFonts w:ascii="Times New Roman" w:hAnsi="Times New Roman"/>
          <w:b/>
          <w:sz w:val="24"/>
          <w:szCs w:val="24"/>
        </w:rPr>
      </w:pPr>
      <w:r w:rsidRPr="001F29E7">
        <w:rPr>
          <w:rFonts w:ascii="Times New Roman" w:hAnsi="Times New Roman"/>
          <w:b/>
          <w:sz w:val="24"/>
          <w:szCs w:val="24"/>
        </w:rPr>
        <w:t>Local Government Budget transparency report for the year 2018</w:t>
      </w:r>
    </w:p>
    <w:p w:rsidR="00384B8A" w:rsidRPr="001F29E7" w:rsidRDefault="00384B8A" w:rsidP="00384B8A">
      <w:pPr>
        <w:tabs>
          <w:tab w:val="center" w:pos="4693"/>
          <w:tab w:val="left" w:pos="8683"/>
        </w:tabs>
        <w:spacing w:after="160" w:line="259" w:lineRule="auto"/>
        <w:jc w:val="both"/>
        <w:rPr>
          <w:rFonts w:ascii="Times New Roman" w:hAnsi="Times New Roman"/>
          <w:sz w:val="24"/>
          <w:szCs w:val="24"/>
          <w:lang w:val="sq-AL"/>
        </w:rPr>
      </w:pPr>
      <w:r w:rsidRPr="001F29E7">
        <w:rPr>
          <w:rFonts w:ascii="Times New Roman" w:eastAsia="SimSun" w:hAnsi="Times New Roman"/>
          <w:sz w:val="24"/>
          <w:szCs w:val="24"/>
          <w:lang w:val="sq-AL"/>
        </w:rPr>
        <w:t xml:space="preserve">In the medium term the MoFE will enforce the implementation of the law no. 68, dated 27.04.2017 "On local self-government finances", in all local government units.  With the adoption of this law and the sub-legal acts that are expected to be implemented, the fundamentals of good local finance management have been laid down. </w:t>
      </w:r>
      <w:r w:rsidRPr="001F29E7">
        <w:rPr>
          <w:rFonts w:ascii="Times New Roman" w:eastAsia="Times New Roman" w:hAnsi="Times New Roman"/>
          <w:sz w:val="24"/>
          <w:szCs w:val="24"/>
          <w:lang w:val="sq-AL"/>
        </w:rPr>
        <w:t>Considerable work has been done on the preparation of guidelines and by-laws aiming to improve and to unify the reporting formats for budget execution of LGUs. The approved guidelines are: “On the preparation of the MTBP”, “On monitoring the implementation of the local budget”.</w:t>
      </w:r>
      <w:r w:rsidRPr="001F29E7">
        <w:rPr>
          <w:rFonts w:ascii="Times New Roman" w:hAnsi="Times New Roman"/>
          <w:b/>
          <w:sz w:val="24"/>
          <w:szCs w:val="24"/>
          <w:lang w:val="sq-AL"/>
        </w:rPr>
        <w:t xml:space="preserve"> </w:t>
      </w:r>
      <w:r w:rsidRPr="001F29E7">
        <w:rPr>
          <w:rFonts w:ascii="Times New Roman" w:hAnsi="Times New Roman"/>
          <w:sz w:val="24"/>
          <w:szCs w:val="24"/>
          <w:lang w:val="sq-AL"/>
        </w:rPr>
        <w:t>So, in this direction during 2018, MoFE in cordination with different donors has organized trainings, meetings and workshops with all local units.</w:t>
      </w:r>
    </w:p>
    <w:p w:rsidR="00384B8A" w:rsidRPr="001F29E7" w:rsidRDefault="00384B8A" w:rsidP="00384B8A">
      <w:pPr>
        <w:pStyle w:val="ListParagraph"/>
        <w:numPr>
          <w:ilvl w:val="0"/>
          <w:numId w:val="10"/>
        </w:numPr>
        <w:jc w:val="both"/>
        <w:rPr>
          <w:rFonts w:ascii="Times New Roman" w:hAnsi="Times New Roman"/>
          <w:i/>
          <w:sz w:val="24"/>
          <w:szCs w:val="24"/>
          <w:lang w:val="sq-AL"/>
        </w:rPr>
      </w:pPr>
      <w:r w:rsidRPr="001F29E7">
        <w:rPr>
          <w:rFonts w:ascii="Times New Roman" w:hAnsi="Times New Roman"/>
          <w:i/>
          <w:sz w:val="24"/>
          <w:szCs w:val="24"/>
          <w:lang w:val="sq-AL"/>
        </w:rPr>
        <w:lastRenderedPageBreak/>
        <w:t>Consultation and training with the LGUs on standard MTBP and local budget monitoring guidelines, performance indicators and mid-term financial planning instrument.</w:t>
      </w:r>
    </w:p>
    <w:p w:rsidR="00384B8A" w:rsidRPr="001F29E7" w:rsidRDefault="00384B8A" w:rsidP="00384B8A">
      <w:pPr>
        <w:tabs>
          <w:tab w:val="center" w:pos="4693"/>
          <w:tab w:val="left" w:pos="8683"/>
        </w:tabs>
        <w:spacing w:after="160" w:line="259" w:lineRule="auto"/>
        <w:jc w:val="both"/>
        <w:rPr>
          <w:rFonts w:ascii="Times New Roman" w:hAnsi="Times New Roman"/>
          <w:sz w:val="24"/>
          <w:szCs w:val="24"/>
          <w:lang w:val="sq-AL"/>
        </w:rPr>
      </w:pPr>
      <w:r w:rsidRPr="001F29E7">
        <w:rPr>
          <w:rFonts w:ascii="Times New Roman" w:hAnsi="Times New Roman"/>
          <w:sz w:val="24"/>
          <w:szCs w:val="24"/>
          <w:lang w:val="sq-AL"/>
        </w:rPr>
        <w:t xml:space="preserve">Organized 3 regional meetings in Pogradec, Vlore and Durrës to introduce to all local units, the new guidelines for MTBP process and budget monitoring process, with the aim to increase local government unit’s capacities. </w:t>
      </w:r>
    </w:p>
    <w:p w:rsidR="00384B8A" w:rsidRPr="001F29E7" w:rsidRDefault="00384B8A" w:rsidP="00384B8A">
      <w:pPr>
        <w:tabs>
          <w:tab w:val="center" w:pos="4693"/>
          <w:tab w:val="left" w:pos="8683"/>
        </w:tabs>
        <w:spacing w:after="160" w:line="259" w:lineRule="auto"/>
        <w:jc w:val="both"/>
        <w:rPr>
          <w:rFonts w:ascii="Times New Roman" w:hAnsi="Times New Roman"/>
          <w:sz w:val="24"/>
          <w:szCs w:val="24"/>
          <w:lang w:val="sq-AL"/>
        </w:rPr>
      </w:pPr>
      <w:r w:rsidRPr="001F29E7">
        <w:rPr>
          <w:rFonts w:ascii="Times New Roman" w:hAnsi="Times New Roman"/>
          <w:sz w:val="24"/>
          <w:szCs w:val="24"/>
          <w:lang w:val="sq-AL"/>
        </w:rPr>
        <w:t>Main Issues discussed: Standard Instruction for MTBP in local level and monitoring process (Description of the instruction, the procedures followed during the drafting of MTBP, explanation of the annexes). Introduction of the main performance indicators for each program in local level.</w:t>
      </w:r>
    </w:p>
    <w:p w:rsidR="00384B8A" w:rsidRPr="001F29E7" w:rsidRDefault="00384B8A" w:rsidP="00384B8A">
      <w:pPr>
        <w:tabs>
          <w:tab w:val="center" w:pos="4693"/>
          <w:tab w:val="left" w:pos="8683"/>
        </w:tabs>
        <w:spacing w:after="160" w:line="259" w:lineRule="auto"/>
        <w:jc w:val="both"/>
        <w:rPr>
          <w:rFonts w:ascii="Times New Roman" w:hAnsi="Times New Roman"/>
          <w:b/>
          <w:sz w:val="24"/>
          <w:szCs w:val="24"/>
          <w:lang w:val="sq-AL"/>
        </w:rPr>
      </w:pPr>
      <w:r w:rsidRPr="001F29E7">
        <w:rPr>
          <w:rFonts w:ascii="Times New Roman" w:hAnsi="Times New Roman"/>
          <w:sz w:val="24"/>
          <w:szCs w:val="24"/>
          <w:lang w:val="sq-AL"/>
        </w:rPr>
        <w:t xml:space="preserve">Participants: LGUs, MoFE and </w:t>
      </w:r>
      <w:r w:rsidR="006C7066" w:rsidRPr="001F29E7">
        <w:rPr>
          <w:rFonts w:ascii="Times New Roman" w:hAnsi="Times New Roman"/>
          <w:sz w:val="24"/>
          <w:szCs w:val="24"/>
          <w:lang w:val="sq-AL"/>
        </w:rPr>
        <w:t>Decentralisation and Local Development Programme  (</w:t>
      </w:r>
      <w:r w:rsidRPr="001F29E7">
        <w:rPr>
          <w:rFonts w:ascii="Times New Roman" w:hAnsi="Times New Roman"/>
          <w:sz w:val="24"/>
          <w:szCs w:val="24"/>
          <w:lang w:val="sq-AL"/>
        </w:rPr>
        <w:t>DLDP</w:t>
      </w:r>
      <w:r w:rsidR="006C7066" w:rsidRPr="001F29E7">
        <w:rPr>
          <w:rFonts w:ascii="Times New Roman" w:hAnsi="Times New Roman"/>
          <w:sz w:val="24"/>
          <w:szCs w:val="24"/>
          <w:lang w:val="sq-AL"/>
        </w:rPr>
        <w:t>)</w:t>
      </w:r>
      <w:r w:rsidRPr="001F29E7">
        <w:rPr>
          <w:rFonts w:ascii="Times New Roman" w:hAnsi="Times New Roman"/>
          <w:sz w:val="24"/>
          <w:szCs w:val="24"/>
          <w:lang w:val="sq-AL"/>
        </w:rPr>
        <w:t>.</w:t>
      </w:r>
    </w:p>
    <w:p w:rsidR="00384B8A" w:rsidRPr="001F29E7" w:rsidRDefault="00384B8A" w:rsidP="00384B8A">
      <w:pPr>
        <w:pStyle w:val="ListParagraph"/>
        <w:numPr>
          <w:ilvl w:val="0"/>
          <w:numId w:val="11"/>
        </w:numPr>
        <w:jc w:val="both"/>
        <w:rPr>
          <w:rFonts w:ascii="Times New Roman" w:hAnsi="Times New Roman"/>
          <w:i/>
          <w:sz w:val="24"/>
          <w:szCs w:val="24"/>
          <w:lang w:val="en"/>
        </w:rPr>
      </w:pPr>
      <w:r w:rsidRPr="001F29E7">
        <w:rPr>
          <w:rStyle w:val="tlid-translation"/>
          <w:rFonts w:ascii="Times New Roman" w:hAnsi="Times New Roman"/>
          <w:i/>
          <w:sz w:val="24"/>
          <w:szCs w:val="24"/>
          <w:lang w:val="en"/>
        </w:rPr>
        <w:t xml:space="preserve">Establish a help desk in </w:t>
      </w:r>
      <w:proofErr w:type="spellStart"/>
      <w:r w:rsidRPr="001F29E7">
        <w:rPr>
          <w:rStyle w:val="tlid-translation"/>
          <w:rFonts w:ascii="Times New Roman" w:hAnsi="Times New Roman"/>
          <w:i/>
          <w:sz w:val="24"/>
          <w:szCs w:val="24"/>
          <w:lang w:val="en"/>
        </w:rPr>
        <w:t>MoFE</w:t>
      </w:r>
      <w:proofErr w:type="spellEnd"/>
      <w:r w:rsidRPr="001F29E7">
        <w:rPr>
          <w:rStyle w:val="tlid-translation"/>
          <w:rFonts w:ascii="Times New Roman" w:hAnsi="Times New Roman"/>
          <w:i/>
          <w:sz w:val="24"/>
          <w:szCs w:val="24"/>
          <w:lang w:val="en"/>
        </w:rPr>
        <w:t xml:space="preserve"> to assist all local units in understanding and using the new Financial Instrument for preparation of the MTBP 2019-2021.</w:t>
      </w:r>
    </w:p>
    <w:p w:rsidR="00384B8A" w:rsidRPr="001F29E7" w:rsidRDefault="00384B8A" w:rsidP="00384B8A">
      <w:pPr>
        <w:jc w:val="both"/>
        <w:rPr>
          <w:rFonts w:ascii="Times New Roman" w:hAnsi="Times New Roman"/>
          <w:sz w:val="24"/>
          <w:szCs w:val="24"/>
          <w:lang w:val="en"/>
        </w:rPr>
      </w:pPr>
      <w:r w:rsidRPr="001F29E7">
        <w:rPr>
          <w:rFonts w:ascii="Times New Roman" w:hAnsi="Times New Roman"/>
          <w:sz w:val="24"/>
          <w:szCs w:val="24"/>
          <w:lang w:val="en"/>
        </w:rPr>
        <w:t xml:space="preserve">The aim of the help desk was to be part of the medium term budget program process and helped them in some direction: </w:t>
      </w:r>
    </w:p>
    <w:p w:rsidR="00384B8A" w:rsidRPr="001F29E7" w:rsidRDefault="00384B8A" w:rsidP="00384B8A">
      <w:pPr>
        <w:jc w:val="both"/>
        <w:rPr>
          <w:rFonts w:ascii="Times New Roman" w:eastAsiaTheme="minorHAnsi" w:hAnsi="Times New Roman"/>
          <w:sz w:val="24"/>
          <w:szCs w:val="24"/>
        </w:rPr>
      </w:pPr>
      <w:r w:rsidRPr="001F29E7">
        <w:rPr>
          <w:rFonts w:ascii="Times New Roman" w:hAnsi="Times New Roman"/>
          <w:sz w:val="24"/>
          <w:szCs w:val="24"/>
          <w:lang w:val="en"/>
        </w:rPr>
        <w:t xml:space="preserve">All local units used this </w:t>
      </w:r>
      <w:r w:rsidRPr="001F29E7">
        <w:rPr>
          <w:rFonts w:ascii="Times New Roman" w:eastAsiaTheme="minorHAnsi" w:hAnsi="Times New Roman"/>
          <w:sz w:val="24"/>
          <w:szCs w:val="24"/>
        </w:rPr>
        <w:t xml:space="preserve">new instrument </w:t>
      </w:r>
      <w:r w:rsidRPr="001F29E7">
        <w:rPr>
          <w:rFonts w:ascii="Times New Roman" w:hAnsi="Times New Roman"/>
          <w:sz w:val="24"/>
          <w:szCs w:val="24"/>
          <w:lang w:val="en"/>
        </w:rPr>
        <w:t>on the preparation of Medium Term Budget Program 2019-2021</w:t>
      </w:r>
      <w:r w:rsidRPr="001F29E7">
        <w:rPr>
          <w:rFonts w:ascii="Times New Roman" w:eastAsiaTheme="minorHAnsi" w:hAnsi="Times New Roman"/>
          <w:sz w:val="24"/>
          <w:szCs w:val="24"/>
        </w:rPr>
        <w:t xml:space="preserve">. </w:t>
      </w:r>
      <w:r w:rsidRPr="001F29E7">
        <w:rPr>
          <w:rFonts w:ascii="Times New Roman" w:hAnsi="Times New Roman"/>
          <w:sz w:val="24"/>
          <w:szCs w:val="24"/>
        </w:rPr>
        <w:t>First impact was positive, because helped municipalities to plan in an effective and efficient way. In the medium term the Ministry of Finance and Economy will continue to monitor the usage of Financial Planning Tool for all local units and will develop the instrument in the direction to include the performance indicators in it.</w:t>
      </w:r>
    </w:p>
    <w:p w:rsidR="00384B8A" w:rsidRPr="001F29E7" w:rsidRDefault="00384B8A" w:rsidP="00384B8A">
      <w:pPr>
        <w:jc w:val="both"/>
        <w:rPr>
          <w:rFonts w:ascii="Times New Roman" w:hAnsi="Times New Roman"/>
          <w:sz w:val="24"/>
          <w:szCs w:val="24"/>
          <w:lang w:val="en"/>
        </w:rPr>
      </w:pPr>
      <w:r w:rsidRPr="001F29E7">
        <w:rPr>
          <w:rFonts w:ascii="Times New Roman" w:hAnsi="Times New Roman"/>
          <w:sz w:val="24"/>
          <w:szCs w:val="24"/>
          <w:lang w:val="en"/>
        </w:rPr>
        <w:t xml:space="preserve">Participants: </w:t>
      </w:r>
      <w:proofErr w:type="spellStart"/>
      <w:r w:rsidRPr="001F29E7">
        <w:rPr>
          <w:rFonts w:ascii="Times New Roman" w:hAnsi="Times New Roman"/>
          <w:sz w:val="24"/>
          <w:szCs w:val="24"/>
          <w:lang w:val="en"/>
        </w:rPr>
        <w:t>MoFE</w:t>
      </w:r>
      <w:proofErr w:type="spellEnd"/>
      <w:r w:rsidRPr="001F29E7">
        <w:rPr>
          <w:rFonts w:ascii="Times New Roman" w:hAnsi="Times New Roman"/>
          <w:sz w:val="24"/>
          <w:szCs w:val="24"/>
          <w:lang w:val="en"/>
        </w:rPr>
        <w:t>, DLDP, LGUs</w:t>
      </w:r>
    </w:p>
    <w:p w:rsidR="00384B8A" w:rsidRPr="001F29E7" w:rsidRDefault="00384B8A" w:rsidP="00384B8A">
      <w:pPr>
        <w:pStyle w:val="ListParagraph"/>
        <w:numPr>
          <w:ilvl w:val="0"/>
          <w:numId w:val="11"/>
        </w:numPr>
        <w:jc w:val="both"/>
        <w:rPr>
          <w:rStyle w:val="tlid-translation"/>
          <w:rFonts w:ascii="Times New Roman" w:hAnsi="Times New Roman"/>
          <w:i/>
          <w:sz w:val="24"/>
          <w:szCs w:val="24"/>
          <w:lang w:val="en"/>
        </w:rPr>
      </w:pPr>
      <w:r w:rsidRPr="001F29E7">
        <w:rPr>
          <w:rStyle w:val="tlid-translation"/>
          <w:rFonts w:ascii="Times New Roman" w:hAnsi="Times New Roman"/>
          <w:i/>
          <w:sz w:val="24"/>
          <w:szCs w:val="24"/>
          <w:lang w:val="en"/>
        </w:rPr>
        <w:t>Strengthen implementation of the local government financing law and PFM practices</w:t>
      </w:r>
    </w:p>
    <w:p w:rsidR="00384B8A" w:rsidRPr="001F29E7" w:rsidRDefault="00384B8A" w:rsidP="00384B8A">
      <w:pPr>
        <w:jc w:val="both"/>
        <w:rPr>
          <w:rFonts w:ascii="Times New Roman" w:eastAsiaTheme="minorHAnsi" w:hAnsi="Times New Roman"/>
          <w:sz w:val="24"/>
          <w:szCs w:val="24"/>
        </w:rPr>
      </w:pPr>
      <w:r w:rsidRPr="001F29E7">
        <w:rPr>
          <w:rFonts w:ascii="Times New Roman" w:hAnsi="Times New Roman"/>
          <w:sz w:val="24"/>
          <w:szCs w:val="24"/>
        </w:rPr>
        <w:t>On 21, 22 and 26 November 2018 was organized a workshop on Ministry of Finance and Economy’s (</w:t>
      </w:r>
      <w:proofErr w:type="spellStart"/>
      <w:r w:rsidRPr="001F29E7">
        <w:rPr>
          <w:rFonts w:ascii="Times New Roman" w:hAnsi="Times New Roman"/>
          <w:sz w:val="24"/>
          <w:szCs w:val="24"/>
        </w:rPr>
        <w:t>MoFE</w:t>
      </w:r>
      <w:proofErr w:type="spellEnd"/>
      <w:r w:rsidRPr="001F29E7">
        <w:rPr>
          <w:rFonts w:ascii="Times New Roman" w:hAnsi="Times New Roman"/>
          <w:sz w:val="24"/>
          <w:szCs w:val="24"/>
        </w:rPr>
        <w:t xml:space="preserve">) support to, and oversight of, sub-national Public Financial Management (PFM). </w:t>
      </w:r>
      <w:r w:rsidRPr="001F29E7">
        <w:rPr>
          <w:rFonts w:ascii="Times New Roman" w:eastAsiaTheme="minorHAnsi" w:hAnsi="Times New Roman"/>
          <w:sz w:val="24"/>
          <w:szCs w:val="24"/>
        </w:rPr>
        <w:t>The objective of the workshop was to launch the project funded by SECO "Strengthening Public Finance Management at the Local Level" and to prepare the action plan by identifying the weaknesses of the PFM at the local level. The overall objective of the Project is to contribute to strengthening public finance management (PFM) at the local level in Albania to enable better fiscal discipline, efficient use of public funds and improved services to citizens. The project, which will last for 5 years, will support 15 pilot municipalities in the first phase (2019-2020), and then (2021-2023) will be extended to all 61 municipalities in Albania. The project will also assist the Ministry of Finance and Economy (</w:t>
      </w:r>
      <w:proofErr w:type="spellStart"/>
      <w:r w:rsidRPr="001F29E7">
        <w:rPr>
          <w:rFonts w:ascii="Times New Roman" w:eastAsiaTheme="minorHAnsi" w:hAnsi="Times New Roman"/>
          <w:sz w:val="24"/>
          <w:szCs w:val="24"/>
        </w:rPr>
        <w:t>M</w:t>
      </w:r>
      <w:r w:rsidR="006C7066" w:rsidRPr="001F29E7">
        <w:rPr>
          <w:rFonts w:ascii="Times New Roman" w:eastAsiaTheme="minorHAnsi" w:hAnsi="Times New Roman"/>
          <w:sz w:val="24"/>
          <w:szCs w:val="24"/>
        </w:rPr>
        <w:t>o</w:t>
      </w:r>
      <w:r w:rsidRPr="001F29E7">
        <w:rPr>
          <w:rFonts w:ascii="Times New Roman" w:eastAsiaTheme="minorHAnsi" w:hAnsi="Times New Roman"/>
          <w:sz w:val="24"/>
          <w:szCs w:val="24"/>
        </w:rPr>
        <w:t>FE</w:t>
      </w:r>
      <w:proofErr w:type="spellEnd"/>
      <w:r w:rsidRPr="001F29E7">
        <w:rPr>
          <w:rFonts w:ascii="Times New Roman" w:eastAsiaTheme="minorHAnsi" w:hAnsi="Times New Roman"/>
          <w:sz w:val="24"/>
          <w:szCs w:val="24"/>
        </w:rPr>
        <w:t>) to strengthen PFM related processes, increasing efficiency in revenue collection, formulation, execution and monitoring of the budget, as well as internal audit and auditing.</w:t>
      </w:r>
    </w:p>
    <w:p w:rsidR="009A5F7C" w:rsidRPr="00827449" w:rsidRDefault="00384B8A" w:rsidP="00384B8A">
      <w:pPr>
        <w:jc w:val="both"/>
        <w:rPr>
          <w:rFonts w:ascii="Times New Roman" w:hAnsi="Times New Roman"/>
          <w:sz w:val="24"/>
          <w:szCs w:val="24"/>
          <w:lang w:val="en"/>
        </w:rPr>
      </w:pPr>
      <w:r w:rsidRPr="001F29E7">
        <w:rPr>
          <w:rFonts w:ascii="Times New Roman" w:hAnsi="Times New Roman"/>
          <w:sz w:val="24"/>
          <w:szCs w:val="24"/>
          <w:lang w:val="en"/>
        </w:rPr>
        <w:t>Participants: MOFE, local experts, Local Finance Project.</w:t>
      </w:r>
    </w:p>
    <w:sectPr w:rsidR="009A5F7C" w:rsidRPr="008274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D20" w:rsidRDefault="00776D20" w:rsidP="009A5F7C">
      <w:pPr>
        <w:spacing w:after="0" w:line="240" w:lineRule="auto"/>
      </w:pPr>
      <w:r>
        <w:separator/>
      </w:r>
    </w:p>
  </w:endnote>
  <w:endnote w:type="continuationSeparator" w:id="0">
    <w:p w:rsidR="00776D20" w:rsidRDefault="00776D20" w:rsidP="009A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D20" w:rsidRDefault="00776D20" w:rsidP="009A5F7C">
      <w:pPr>
        <w:spacing w:after="0" w:line="240" w:lineRule="auto"/>
      </w:pPr>
      <w:r>
        <w:separator/>
      </w:r>
    </w:p>
  </w:footnote>
  <w:footnote w:type="continuationSeparator" w:id="0">
    <w:p w:rsidR="00776D20" w:rsidRDefault="00776D20" w:rsidP="009A5F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EF9"/>
    <w:multiLevelType w:val="hybridMultilevel"/>
    <w:tmpl w:val="DC86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40959"/>
    <w:multiLevelType w:val="hybridMultilevel"/>
    <w:tmpl w:val="8D545C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650C9"/>
    <w:multiLevelType w:val="hybridMultilevel"/>
    <w:tmpl w:val="C53049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A7B57"/>
    <w:multiLevelType w:val="hybridMultilevel"/>
    <w:tmpl w:val="0FB623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C1732DB"/>
    <w:multiLevelType w:val="hybridMultilevel"/>
    <w:tmpl w:val="33A6D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3616FD"/>
    <w:multiLevelType w:val="hybridMultilevel"/>
    <w:tmpl w:val="3016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20FC1"/>
    <w:multiLevelType w:val="hybridMultilevel"/>
    <w:tmpl w:val="CBC00D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561832"/>
    <w:multiLevelType w:val="hybridMultilevel"/>
    <w:tmpl w:val="C67E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3439A2"/>
    <w:multiLevelType w:val="hybridMultilevel"/>
    <w:tmpl w:val="9190C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165EEB"/>
    <w:multiLevelType w:val="hybridMultilevel"/>
    <w:tmpl w:val="44D61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F03246"/>
    <w:multiLevelType w:val="hybridMultilevel"/>
    <w:tmpl w:val="A40C1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10"/>
  </w:num>
  <w:num w:numId="5">
    <w:abstractNumId w:val="8"/>
  </w:num>
  <w:num w:numId="6">
    <w:abstractNumId w:val="1"/>
  </w:num>
  <w:num w:numId="7">
    <w:abstractNumId w:val="3"/>
  </w:num>
  <w:num w:numId="8">
    <w:abstractNumId w:val="9"/>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6A"/>
    <w:rsid w:val="00011E63"/>
    <w:rsid w:val="00051263"/>
    <w:rsid w:val="00194CBD"/>
    <w:rsid w:val="001B19ED"/>
    <w:rsid w:val="001B7A1C"/>
    <w:rsid w:val="001C32B4"/>
    <w:rsid w:val="001D4603"/>
    <w:rsid w:val="001E1F6A"/>
    <w:rsid w:val="001F29E7"/>
    <w:rsid w:val="00204F91"/>
    <w:rsid w:val="00384B8A"/>
    <w:rsid w:val="003F603B"/>
    <w:rsid w:val="00486F5A"/>
    <w:rsid w:val="005F4605"/>
    <w:rsid w:val="006C7066"/>
    <w:rsid w:val="006D6C3E"/>
    <w:rsid w:val="00776D20"/>
    <w:rsid w:val="00827449"/>
    <w:rsid w:val="00866405"/>
    <w:rsid w:val="008938A2"/>
    <w:rsid w:val="00896C13"/>
    <w:rsid w:val="009479BE"/>
    <w:rsid w:val="009A2CE8"/>
    <w:rsid w:val="009A5F7C"/>
    <w:rsid w:val="00A83B87"/>
    <w:rsid w:val="00A85A1B"/>
    <w:rsid w:val="00AD6356"/>
    <w:rsid w:val="00B779FE"/>
    <w:rsid w:val="00C805B5"/>
    <w:rsid w:val="00C968C4"/>
    <w:rsid w:val="00CD35F6"/>
    <w:rsid w:val="00CF15E3"/>
    <w:rsid w:val="00CF5EC5"/>
    <w:rsid w:val="00D81815"/>
    <w:rsid w:val="00DB1C42"/>
    <w:rsid w:val="00F8560C"/>
    <w:rsid w:val="00FF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7C"/>
    <w:pPr>
      <w:spacing w:after="200" w:line="276" w:lineRule="auto"/>
    </w:pPr>
    <w:rPr>
      <w:rFonts w:ascii="Calibri" w:eastAsia="MS Mincho" w:hAnsi="Calibri" w:cs="Times New Roman"/>
    </w:rPr>
  </w:style>
  <w:style w:type="paragraph" w:styleId="Heading1">
    <w:name w:val="heading 1"/>
    <w:basedOn w:val="Normal"/>
    <w:next w:val="Normal"/>
    <w:link w:val="Heading1Char"/>
    <w:qFormat/>
    <w:rsid w:val="009A5F7C"/>
    <w:pPr>
      <w:keepNext/>
      <w:keepLines/>
      <w:spacing w:before="480" w:after="0" w:line="240" w:lineRule="auto"/>
      <w:outlineLvl w:val="0"/>
    </w:pPr>
    <w:rPr>
      <w:rFonts w:ascii="Cambria" w:eastAsia="Times New Roman" w:hAnsi="Cambria"/>
      <w:b/>
      <w:bCs/>
      <w:color w:val="365F91"/>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5F7C"/>
    <w:pPr>
      <w:tabs>
        <w:tab w:val="center" w:pos="4680"/>
      </w:tabs>
      <w:spacing w:after="0" w:line="275" w:lineRule="atLeast"/>
      <w:jc w:val="center"/>
    </w:pPr>
    <w:rPr>
      <w:rFonts w:ascii="Times New Roman" w:eastAsia="Times New Roman" w:hAnsi="Times New Roman"/>
      <w:b/>
      <w:sz w:val="24"/>
      <w:szCs w:val="24"/>
      <w:lang w:val="en-GB" w:eastAsia="x-none"/>
    </w:rPr>
  </w:style>
  <w:style w:type="character" w:customStyle="1" w:styleId="BodyTextChar">
    <w:name w:val="Body Text Char"/>
    <w:basedOn w:val="DefaultParagraphFont"/>
    <w:link w:val="BodyText"/>
    <w:rsid w:val="009A5F7C"/>
    <w:rPr>
      <w:rFonts w:ascii="Times New Roman" w:eastAsia="Times New Roman" w:hAnsi="Times New Roman" w:cs="Times New Roman"/>
      <w:b/>
      <w:sz w:val="24"/>
      <w:szCs w:val="24"/>
      <w:lang w:val="en-GB" w:eastAsia="x-none"/>
    </w:rPr>
  </w:style>
  <w:style w:type="character" w:customStyle="1" w:styleId="Heading1Char">
    <w:name w:val="Heading 1 Char"/>
    <w:basedOn w:val="DefaultParagraphFont"/>
    <w:link w:val="Heading1"/>
    <w:rsid w:val="009A5F7C"/>
    <w:rPr>
      <w:rFonts w:ascii="Cambria" w:eastAsia="Times New Roman" w:hAnsi="Cambria" w:cs="Times New Roman"/>
      <w:b/>
      <w:bCs/>
      <w:color w:val="365F91"/>
      <w:sz w:val="28"/>
      <w:szCs w:val="28"/>
      <w:lang w:val="en-GB" w:eastAsia="zh-CN"/>
    </w:rPr>
  </w:style>
  <w:style w:type="paragraph" w:styleId="ListParagraph">
    <w:name w:val="List Paragraph"/>
    <w:basedOn w:val="Normal"/>
    <w:uiPriority w:val="34"/>
    <w:qFormat/>
    <w:rsid w:val="009A5F7C"/>
    <w:pPr>
      <w:ind w:left="720"/>
      <w:contextualSpacing/>
    </w:pPr>
  </w:style>
  <w:style w:type="paragraph" w:styleId="FootnoteText">
    <w:name w:val="footnote text"/>
    <w:basedOn w:val="Normal"/>
    <w:link w:val="FootnoteTextChar"/>
    <w:uiPriority w:val="99"/>
    <w:semiHidden/>
    <w:unhideWhenUsed/>
    <w:rsid w:val="009A5F7C"/>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9A5F7C"/>
    <w:rPr>
      <w:rFonts w:ascii="Calibri" w:eastAsia="MS Mincho" w:hAnsi="Calibri" w:cs="Times New Roman"/>
      <w:sz w:val="20"/>
      <w:szCs w:val="20"/>
      <w:lang w:val="x-none" w:eastAsia="x-none"/>
    </w:rPr>
  </w:style>
  <w:style w:type="character" w:styleId="FootnoteReference">
    <w:name w:val="footnote reference"/>
    <w:uiPriority w:val="99"/>
    <w:semiHidden/>
    <w:unhideWhenUsed/>
    <w:rsid w:val="009A5F7C"/>
    <w:rPr>
      <w:vertAlign w:val="superscript"/>
    </w:rPr>
  </w:style>
  <w:style w:type="character" w:styleId="Hyperlink">
    <w:name w:val="Hyperlink"/>
    <w:uiPriority w:val="99"/>
    <w:unhideWhenUsed/>
    <w:rsid w:val="009A5F7C"/>
    <w:rPr>
      <w:color w:val="0000FF"/>
      <w:u w:val="single"/>
    </w:rPr>
  </w:style>
  <w:style w:type="paragraph" w:styleId="HTMLPreformatted">
    <w:name w:val="HTML Preformatted"/>
    <w:basedOn w:val="Normal"/>
    <w:link w:val="HTMLPreformattedChar"/>
    <w:uiPriority w:val="99"/>
    <w:unhideWhenUsed/>
    <w:rsid w:val="009A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9A5F7C"/>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CF1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E3"/>
    <w:rPr>
      <w:rFonts w:ascii="Tahoma" w:eastAsia="MS Mincho" w:hAnsi="Tahoma" w:cs="Tahoma"/>
      <w:sz w:val="16"/>
      <w:szCs w:val="16"/>
    </w:rPr>
  </w:style>
  <w:style w:type="paragraph" w:styleId="NormalWeb">
    <w:name w:val="Normal (Web)"/>
    <w:basedOn w:val="Normal"/>
    <w:uiPriority w:val="99"/>
    <w:semiHidden/>
    <w:unhideWhenUsed/>
    <w:rsid w:val="00CF15E3"/>
    <w:pPr>
      <w:spacing w:before="100" w:beforeAutospacing="1" w:after="100" w:afterAutospacing="1" w:line="240" w:lineRule="auto"/>
    </w:pPr>
    <w:rPr>
      <w:rFonts w:eastAsiaTheme="minorHAnsi"/>
    </w:rPr>
  </w:style>
  <w:style w:type="paragraph" w:customStyle="1" w:styleId="s22">
    <w:name w:val="s22"/>
    <w:basedOn w:val="Normal"/>
    <w:rsid w:val="00CF15E3"/>
    <w:pPr>
      <w:spacing w:before="100" w:beforeAutospacing="1" w:after="100" w:afterAutospacing="1" w:line="240" w:lineRule="auto"/>
    </w:pPr>
    <w:rPr>
      <w:rFonts w:eastAsiaTheme="minorHAnsi"/>
    </w:rPr>
  </w:style>
  <w:style w:type="character" w:customStyle="1" w:styleId="bumpedfont15">
    <w:name w:val="bumpedfont15"/>
    <w:basedOn w:val="DefaultParagraphFont"/>
    <w:rsid w:val="00CF15E3"/>
  </w:style>
  <w:style w:type="character" w:styleId="FollowedHyperlink">
    <w:name w:val="FollowedHyperlink"/>
    <w:basedOn w:val="DefaultParagraphFont"/>
    <w:uiPriority w:val="99"/>
    <w:semiHidden/>
    <w:unhideWhenUsed/>
    <w:rsid w:val="00384B8A"/>
    <w:rPr>
      <w:color w:val="954F72" w:themeColor="followedHyperlink"/>
      <w:u w:val="single"/>
    </w:rPr>
  </w:style>
  <w:style w:type="character" w:customStyle="1" w:styleId="tlid-translation">
    <w:name w:val="tlid-translation"/>
    <w:basedOn w:val="DefaultParagraphFont"/>
    <w:rsid w:val="00384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7C"/>
    <w:pPr>
      <w:spacing w:after="200" w:line="276" w:lineRule="auto"/>
    </w:pPr>
    <w:rPr>
      <w:rFonts w:ascii="Calibri" w:eastAsia="MS Mincho" w:hAnsi="Calibri" w:cs="Times New Roman"/>
    </w:rPr>
  </w:style>
  <w:style w:type="paragraph" w:styleId="Heading1">
    <w:name w:val="heading 1"/>
    <w:basedOn w:val="Normal"/>
    <w:next w:val="Normal"/>
    <w:link w:val="Heading1Char"/>
    <w:qFormat/>
    <w:rsid w:val="009A5F7C"/>
    <w:pPr>
      <w:keepNext/>
      <w:keepLines/>
      <w:spacing w:before="480" w:after="0" w:line="240" w:lineRule="auto"/>
      <w:outlineLvl w:val="0"/>
    </w:pPr>
    <w:rPr>
      <w:rFonts w:ascii="Cambria" w:eastAsia="Times New Roman" w:hAnsi="Cambria"/>
      <w:b/>
      <w:bCs/>
      <w:color w:val="365F91"/>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5F7C"/>
    <w:pPr>
      <w:tabs>
        <w:tab w:val="center" w:pos="4680"/>
      </w:tabs>
      <w:spacing w:after="0" w:line="275" w:lineRule="atLeast"/>
      <w:jc w:val="center"/>
    </w:pPr>
    <w:rPr>
      <w:rFonts w:ascii="Times New Roman" w:eastAsia="Times New Roman" w:hAnsi="Times New Roman"/>
      <w:b/>
      <w:sz w:val="24"/>
      <w:szCs w:val="24"/>
      <w:lang w:val="en-GB" w:eastAsia="x-none"/>
    </w:rPr>
  </w:style>
  <w:style w:type="character" w:customStyle="1" w:styleId="BodyTextChar">
    <w:name w:val="Body Text Char"/>
    <w:basedOn w:val="DefaultParagraphFont"/>
    <w:link w:val="BodyText"/>
    <w:rsid w:val="009A5F7C"/>
    <w:rPr>
      <w:rFonts w:ascii="Times New Roman" w:eastAsia="Times New Roman" w:hAnsi="Times New Roman" w:cs="Times New Roman"/>
      <w:b/>
      <w:sz w:val="24"/>
      <w:szCs w:val="24"/>
      <w:lang w:val="en-GB" w:eastAsia="x-none"/>
    </w:rPr>
  </w:style>
  <w:style w:type="character" w:customStyle="1" w:styleId="Heading1Char">
    <w:name w:val="Heading 1 Char"/>
    <w:basedOn w:val="DefaultParagraphFont"/>
    <w:link w:val="Heading1"/>
    <w:rsid w:val="009A5F7C"/>
    <w:rPr>
      <w:rFonts w:ascii="Cambria" w:eastAsia="Times New Roman" w:hAnsi="Cambria" w:cs="Times New Roman"/>
      <w:b/>
      <w:bCs/>
      <w:color w:val="365F91"/>
      <w:sz w:val="28"/>
      <w:szCs w:val="28"/>
      <w:lang w:val="en-GB" w:eastAsia="zh-CN"/>
    </w:rPr>
  </w:style>
  <w:style w:type="paragraph" w:styleId="ListParagraph">
    <w:name w:val="List Paragraph"/>
    <w:basedOn w:val="Normal"/>
    <w:uiPriority w:val="34"/>
    <w:qFormat/>
    <w:rsid w:val="009A5F7C"/>
    <w:pPr>
      <w:ind w:left="720"/>
      <w:contextualSpacing/>
    </w:pPr>
  </w:style>
  <w:style w:type="paragraph" w:styleId="FootnoteText">
    <w:name w:val="footnote text"/>
    <w:basedOn w:val="Normal"/>
    <w:link w:val="FootnoteTextChar"/>
    <w:uiPriority w:val="99"/>
    <w:semiHidden/>
    <w:unhideWhenUsed/>
    <w:rsid w:val="009A5F7C"/>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9A5F7C"/>
    <w:rPr>
      <w:rFonts w:ascii="Calibri" w:eastAsia="MS Mincho" w:hAnsi="Calibri" w:cs="Times New Roman"/>
      <w:sz w:val="20"/>
      <w:szCs w:val="20"/>
      <w:lang w:val="x-none" w:eastAsia="x-none"/>
    </w:rPr>
  </w:style>
  <w:style w:type="character" w:styleId="FootnoteReference">
    <w:name w:val="footnote reference"/>
    <w:uiPriority w:val="99"/>
    <w:semiHidden/>
    <w:unhideWhenUsed/>
    <w:rsid w:val="009A5F7C"/>
    <w:rPr>
      <w:vertAlign w:val="superscript"/>
    </w:rPr>
  </w:style>
  <w:style w:type="character" w:styleId="Hyperlink">
    <w:name w:val="Hyperlink"/>
    <w:uiPriority w:val="99"/>
    <w:unhideWhenUsed/>
    <w:rsid w:val="009A5F7C"/>
    <w:rPr>
      <w:color w:val="0000FF"/>
      <w:u w:val="single"/>
    </w:rPr>
  </w:style>
  <w:style w:type="paragraph" w:styleId="HTMLPreformatted">
    <w:name w:val="HTML Preformatted"/>
    <w:basedOn w:val="Normal"/>
    <w:link w:val="HTMLPreformattedChar"/>
    <w:uiPriority w:val="99"/>
    <w:unhideWhenUsed/>
    <w:rsid w:val="009A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9A5F7C"/>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CF1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E3"/>
    <w:rPr>
      <w:rFonts w:ascii="Tahoma" w:eastAsia="MS Mincho" w:hAnsi="Tahoma" w:cs="Tahoma"/>
      <w:sz w:val="16"/>
      <w:szCs w:val="16"/>
    </w:rPr>
  </w:style>
  <w:style w:type="paragraph" w:styleId="NormalWeb">
    <w:name w:val="Normal (Web)"/>
    <w:basedOn w:val="Normal"/>
    <w:uiPriority w:val="99"/>
    <w:semiHidden/>
    <w:unhideWhenUsed/>
    <w:rsid w:val="00CF15E3"/>
    <w:pPr>
      <w:spacing w:before="100" w:beforeAutospacing="1" w:after="100" w:afterAutospacing="1" w:line="240" w:lineRule="auto"/>
    </w:pPr>
    <w:rPr>
      <w:rFonts w:eastAsiaTheme="minorHAnsi"/>
    </w:rPr>
  </w:style>
  <w:style w:type="paragraph" w:customStyle="1" w:styleId="s22">
    <w:name w:val="s22"/>
    <w:basedOn w:val="Normal"/>
    <w:rsid w:val="00CF15E3"/>
    <w:pPr>
      <w:spacing w:before="100" w:beforeAutospacing="1" w:after="100" w:afterAutospacing="1" w:line="240" w:lineRule="auto"/>
    </w:pPr>
    <w:rPr>
      <w:rFonts w:eastAsiaTheme="minorHAnsi"/>
    </w:rPr>
  </w:style>
  <w:style w:type="character" w:customStyle="1" w:styleId="bumpedfont15">
    <w:name w:val="bumpedfont15"/>
    <w:basedOn w:val="DefaultParagraphFont"/>
    <w:rsid w:val="00CF15E3"/>
  </w:style>
  <w:style w:type="character" w:styleId="FollowedHyperlink">
    <w:name w:val="FollowedHyperlink"/>
    <w:basedOn w:val="DefaultParagraphFont"/>
    <w:uiPriority w:val="99"/>
    <w:semiHidden/>
    <w:unhideWhenUsed/>
    <w:rsid w:val="00384B8A"/>
    <w:rPr>
      <w:color w:val="954F72" w:themeColor="followedHyperlink"/>
      <w:u w:val="single"/>
    </w:rPr>
  </w:style>
  <w:style w:type="character" w:customStyle="1" w:styleId="tlid-translation">
    <w:name w:val="tlid-translation"/>
    <w:basedOn w:val="DefaultParagraphFont"/>
    <w:rsid w:val="00384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52707">
      <w:bodyDiv w:val="1"/>
      <w:marLeft w:val="0"/>
      <w:marRight w:val="0"/>
      <w:marTop w:val="0"/>
      <w:marBottom w:val="0"/>
      <w:divBdr>
        <w:top w:val="none" w:sz="0" w:space="0" w:color="auto"/>
        <w:left w:val="none" w:sz="0" w:space="0" w:color="auto"/>
        <w:bottom w:val="none" w:sz="0" w:space="0" w:color="auto"/>
        <w:right w:val="none" w:sz="0" w:space="0" w:color="auto"/>
      </w:divBdr>
    </w:div>
    <w:div w:id="1628848695">
      <w:bodyDiv w:val="1"/>
      <w:marLeft w:val="0"/>
      <w:marRight w:val="0"/>
      <w:marTop w:val="0"/>
      <w:marBottom w:val="0"/>
      <w:divBdr>
        <w:top w:val="none" w:sz="0" w:space="0" w:color="auto"/>
        <w:left w:val="none" w:sz="0" w:space="0" w:color="auto"/>
        <w:bottom w:val="none" w:sz="0" w:space="0" w:color="auto"/>
        <w:right w:val="none" w:sz="0" w:space="0" w:color="auto"/>
      </w:divBdr>
    </w:div>
    <w:div w:id="17196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nanca.gov.al/buxheti-2019-fillestar/" TargetMode="External"/><Relationship Id="rId18" Type="http://schemas.openxmlformats.org/officeDocument/2006/relationships/hyperlink" Target="http://www.financa.gov.al/al/raportime/buxheti/raporte-monitorim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inanca.gov.al/wp-content/uploads/2018/12/Web_buxheti_19.pdf" TargetMode="External"/><Relationship Id="rId17" Type="http://schemas.openxmlformats.org/officeDocument/2006/relationships/hyperlink" Target="http://www.financa.gov.al/al/raportime/buxheti/buxheti-ne-vite/buxheti-faktik-nder-vite" TargetMode="External"/><Relationship Id="rId2" Type="http://schemas.openxmlformats.org/officeDocument/2006/relationships/numbering" Target="numbering.xml"/><Relationship Id="rId16" Type="http://schemas.openxmlformats.org/officeDocument/2006/relationships/hyperlink" Target="https://financa.gov.al/raporti-i-mes-vitit-mbi-zbatimin-e-buxhetit-20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anca.gov.al/programi-buxhetor-afatmesem-2019-2021-faza-ii/" TargetMode="External"/><Relationship Id="rId5" Type="http://schemas.openxmlformats.org/officeDocument/2006/relationships/settings" Target="settings.xml"/><Relationship Id="rId15" Type="http://schemas.openxmlformats.org/officeDocument/2006/relationships/hyperlink" Target="https://financa.gov.al/3014-2/" TargetMode="External"/><Relationship Id="rId10" Type="http://schemas.openxmlformats.org/officeDocument/2006/relationships/image" Target="cid:image001.png@01D3B20E.D58CD820" TargetMode="External"/><Relationship Id="rId19" Type="http://schemas.openxmlformats.org/officeDocument/2006/relationships/hyperlink" Target="http://www.financa.gov.al/al/raportime/shlyerja-e-detyrimeve-te-prapambetur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financa.gov.al/buxheti-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50DF4-7026-4FFC-BACD-72DDD3B2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Blerina Gjaci</dc:creator>
  <cp:lastModifiedBy>Nefrida Cocka</cp:lastModifiedBy>
  <cp:revision>2</cp:revision>
  <dcterms:created xsi:type="dcterms:W3CDTF">2019-07-17T07:00:00Z</dcterms:created>
  <dcterms:modified xsi:type="dcterms:W3CDTF">2019-07-17T07:00:00Z</dcterms:modified>
</cp:coreProperties>
</file>