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C59CB" w14:textId="77777777" w:rsidR="00003C8C" w:rsidRDefault="00003C8C" w:rsidP="00003C8C">
      <w:pPr>
        <w:pStyle w:val="Title"/>
        <w:jc w:val="center"/>
        <w:rPr>
          <w:rFonts w:ascii="Times New Roman" w:hAnsi="Times New Roman" w:cs="Times New Roman"/>
          <w:b/>
          <w:bCs/>
          <w:sz w:val="44"/>
          <w:szCs w:val="44"/>
        </w:rPr>
      </w:pPr>
    </w:p>
    <w:p w14:paraId="3798A97B" w14:textId="2E67B397" w:rsidR="001D4C44" w:rsidRPr="009A7C0B" w:rsidRDefault="00003C8C" w:rsidP="00003C8C">
      <w:pPr>
        <w:pStyle w:val="Title"/>
        <w:jc w:val="center"/>
        <w:rPr>
          <w:rFonts w:ascii="Times New Roman" w:hAnsi="Times New Roman" w:cs="Times New Roman"/>
          <w:b/>
          <w:bCs/>
          <w:sz w:val="24"/>
          <w:szCs w:val="24"/>
        </w:rPr>
      </w:pPr>
      <w:r w:rsidRPr="009A7C0B">
        <w:rPr>
          <w:rFonts w:ascii="Times New Roman" w:hAnsi="Times New Roman" w:cs="Times New Roman"/>
          <w:b/>
          <w:bCs/>
          <w:sz w:val="24"/>
          <w:szCs w:val="24"/>
        </w:rPr>
        <w:t>PROCESI I BASHKË-KRIJIMIT, PLANI KOMBËTAR I VEPRIMIT OGP 2026-2030”- “AKSESI NË DREJTËSI”</w:t>
      </w:r>
      <w:bookmarkStart w:id="0" w:name="_GoBack"/>
      <w:bookmarkEnd w:id="0"/>
    </w:p>
    <w:p w14:paraId="477E9047" w14:textId="77777777" w:rsidR="00531201" w:rsidRDefault="00531201" w:rsidP="00E1490E">
      <w:pPr>
        <w:jc w:val="both"/>
        <w:rPr>
          <w:rFonts w:ascii="Times New Roman" w:hAnsi="Times New Roman" w:cs="Times New Roman"/>
          <w:u w:val="single"/>
        </w:rPr>
      </w:pPr>
    </w:p>
    <w:p w14:paraId="436B28AE" w14:textId="37F08F6D" w:rsidR="00531201" w:rsidRPr="00531201" w:rsidRDefault="00531201" w:rsidP="00531201">
      <w:pPr>
        <w:pStyle w:val="NormalWeb"/>
        <w:jc w:val="center"/>
        <w:rPr>
          <w:b/>
          <w:color w:val="000000"/>
        </w:rPr>
      </w:pPr>
      <w:r w:rsidRPr="00531201">
        <w:rPr>
          <w:b/>
          <w:color w:val="000000"/>
        </w:rPr>
        <w:t>Takimi i Parë</w:t>
      </w:r>
      <w:r w:rsidRPr="00531201">
        <w:rPr>
          <w:b/>
          <w:color w:val="000000"/>
        </w:rPr>
        <w:t xml:space="preserve"> konsultativ</w:t>
      </w:r>
      <w:r>
        <w:rPr>
          <w:rStyle w:val="FootnoteReference"/>
          <w:b/>
          <w:color w:val="000000"/>
        </w:rPr>
        <w:footnoteReference w:id="1"/>
      </w:r>
    </w:p>
    <w:p w14:paraId="01047EB8" w14:textId="77777777" w:rsidR="00531201" w:rsidRPr="00531201" w:rsidRDefault="00531201" w:rsidP="00531201">
      <w:pPr>
        <w:pStyle w:val="NormalWeb"/>
        <w:jc w:val="center"/>
        <w:rPr>
          <w:b/>
          <w:color w:val="000000"/>
        </w:rPr>
      </w:pPr>
      <w:r w:rsidRPr="00531201">
        <w:rPr>
          <w:b/>
          <w:color w:val="000000"/>
        </w:rPr>
        <w:t>Minutat e Takimit</w:t>
      </w:r>
    </w:p>
    <w:p w14:paraId="247E14B7" w14:textId="4A3C7B9E" w:rsidR="00531201" w:rsidRPr="00531201" w:rsidRDefault="00531201" w:rsidP="00531201">
      <w:pPr>
        <w:pStyle w:val="NormalWeb"/>
        <w:jc w:val="center"/>
        <w:rPr>
          <w:b/>
          <w:color w:val="000000"/>
        </w:rPr>
      </w:pPr>
      <w:r w:rsidRPr="00531201">
        <w:rPr>
          <w:b/>
          <w:color w:val="000000"/>
        </w:rPr>
        <w:t>Datë: 17.02.2026</w:t>
      </w:r>
    </w:p>
    <w:p w14:paraId="13ED68FB" w14:textId="77777777" w:rsidR="00531201" w:rsidRPr="00531201" w:rsidRDefault="00531201" w:rsidP="00531201">
      <w:pPr>
        <w:pStyle w:val="NormalWeb"/>
        <w:jc w:val="center"/>
        <w:rPr>
          <w:b/>
          <w:color w:val="000000"/>
        </w:rPr>
      </w:pPr>
      <w:r w:rsidRPr="00531201">
        <w:rPr>
          <w:b/>
          <w:color w:val="000000"/>
        </w:rPr>
        <w:t>Ora: 10:30 – 11:30</w:t>
      </w:r>
    </w:p>
    <w:p w14:paraId="7420D80B" w14:textId="77777777" w:rsidR="00531201" w:rsidRDefault="00531201" w:rsidP="00454922">
      <w:pPr>
        <w:spacing w:line="276" w:lineRule="auto"/>
        <w:jc w:val="center"/>
        <w:rPr>
          <w:rFonts w:ascii="Times New Roman" w:hAnsi="Times New Roman" w:cs="Times New Roman"/>
          <w:u w:val="single"/>
        </w:rPr>
      </w:pPr>
    </w:p>
    <w:p w14:paraId="1A8DEF85" w14:textId="3DFA5515" w:rsidR="00C77C6C" w:rsidRPr="00E1490E" w:rsidRDefault="00003C8C" w:rsidP="00454922">
      <w:pPr>
        <w:spacing w:line="276" w:lineRule="auto"/>
        <w:jc w:val="both"/>
        <w:rPr>
          <w:rFonts w:ascii="Times New Roman" w:hAnsi="Times New Roman" w:cs="Times New Roman"/>
        </w:rPr>
      </w:pPr>
      <w:r w:rsidRPr="00E1490E">
        <w:rPr>
          <w:rFonts w:ascii="Times New Roman" w:hAnsi="Times New Roman" w:cs="Times New Roman"/>
        </w:rPr>
        <w:t xml:space="preserve">Ministria e Drejtësisë zhvilloi më </w:t>
      </w:r>
      <w:r w:rsidR="00C77C6C" w:rsidRPr="00E1490E">
        <w:rPr>
          <w:rFonts w:ascii="Times New Roman" w:hAnsi="Times New Roman" w:cs="Times New Roman"/>
        </w:rPr>
        <w:t xml:space="preserve">datë </w:t>
      </w:r>
      <w:r w:rsidRPr="00E1490E">
        <w:rPr>
          <w:rFonts w:ascii="Times New Roman" w:hAnsi="Times New Roman" w:cs="Times New Roman"/>
        </w:rPr>
        <w:t xml:space="preserve">17 shkurt </w:t>
      </w:r>
      <w:r w:rsidR="00744419" w:rsidRPr="00E1490E">
        <w:rPr>
          <w:rFonts w:ascii="Times New Roman" w:hAnsi="Times New Roman" w:cs="Times New Roman"/>
        </w:rPr>
        <w:t xml:space="preserve">2026 </w:t>
      </w:r>
      <w:r w:rsidRPr="00E1490E">
        <w:rPr>
          <w:rFonts w:ascii="Times New Roman" w:hAnsi="Times New Roman" w:cs="Times New Roman"/>
        </w:rPr>
        <w:t xml:space="preserve">takimin e parë konsultues me institucionet dhe Organizatat e Shoqërisë Civile, në kuadër të </w:t>
      </w:r>
      <w:r w:rsidRPr="00E1490E">
        <w:rPr>
          <w:rFonts w:ascii="Times New Roman" w:hAnsi="Times New Roman" w:cs="Times New Roman"/>
          <w:i/>
          <w:iCs/>
        </w:rPr>
        <w:t>Procesit të Bashkë-krijimit të Plani Kombëtar të Veprimit OGP 2026-2030”, komponenti “Aksesi në Drejtësi”.</w:t>
      </w:r>
      <w:r w:rsidR="00C77C6C" w:rsidRPr="00E1490E">
        <w:rPr>
          <w:rFonts w:ascii="Times New Roman" w:hAnsi="Times New Roman" w:cs="Times New Roman"/>
          <w:i/>
          <w:iCs/>
        </w:rPr>
        <w:t xml:space="preserve"> </w:t>
      </w:r>
    </w:p>
    <w:p w14:paraId="3235AC76" w14:textId="14F23859" w:rsidR="00C77C6C" w:rsidRDefault="00C77C6C" w:rsidP="00454922">
      <w:pPr>
        <w:spacing w:line="276" w:lineRule="auto"/>
        <w:jc w:val="both"/>
        <w:rPr>
          <w:rFonts w:ascii="Times New Roman" w:hAnsi="Times New Roman" w:cs="Times New Roman"/>
        </w:rPr>
      </w:pPr>
      <w:r w:rsidRPr="00E1490E">
        <w:rPr>
          <w:rFonts w:ascii="Times New Roman" w:hAnsi="Times New Roman" w:cs="Times New Roman"/>
        </w:rPr>
        <w:t xml:space="preserve">Takimi u kryesua nga </w:t>
      </w:r>
      <w:r w:rsidRPr="00D53485">
        <w:rPr>
          <w:rFonts w:ascii="Times New Roman" w:hAnsi="Times New Roman" w:cs="Times New Roman"/>
        </w:rPr>
        <w:t>z. Tedi Dobi, Zëvendësministër i Drejtësisë dhe Negociator për Kapitullin 23 – Gjyqësori dhe të Drejtat Themelore</w:t>
      </w:r>
      <w:r w:rsidRPr="00E1490E">
        <w:rPr>
          <w:rFonts w:ascii="Times New Roman" w:hAnsi="Times New Roman" w:cs="Times New Roman"/>
        </w:rPr>
        <w:t xml:space="preserve">, i cili bëri një përshkrim të detajuar mbi angazhimin e Ministrisë së Drejtësisë në këtë fushë, në përputhje me përgjegjësitë institucionale dhe objektivat e procesit të integrimit evropian. Ai theksoi se përmirësimi i aksesit në drejtësi përbën një element kyç në përmbushjen e standardeve të Bashkimit Evropian, veçanërisht në funksion të forcimit të të drejtave themelore të qytetarëve dhe mbrojtjes së grupeve më vulnerabël në shoqëri. Z. Dobi theksoi se </w:t>
      </w:r>
      <w:proofErr w:type="gramStart"/>
      <w:r w:rsidRPr="00E1490E">
        <w:rPr>
          <w:rFonts w:ascii="Times New Roman" w:hAnsi="Times New Roman" w:cs="Times New Roman"/>
        </w:rPr>
        <w:t>ky</w:t>
      </w:r>
      <w:proofErr w:type="gramEnd"/>
      <w:r w:rsidRPr="00E1490E">
        <w:rPr>
          <w:rFonts w:ascii="Times New Roman" w:hAnsi="Times New Roman" w:cs="Times New Roman"/>
        </w:rPr>
        <w:t xml:space="preserve"> komponent synon garantimin e transparencës, përfshirjes dhe fuqizimit ligjor, përmes ndërtimit të një sistemi drejtësie gjithëpërfshirës, të barabartë dhe të aksesueshëm, të mbështetur në informim, edukim ligjor dhe ofrim shërbimesh cilësore. </w:t>
      </w:r>
    </w:p>
    <w:p w14:paraId="75366E1A" w14:textId="7DF8325D" w:rsidR="009A7C0B" w:rsidRPr="009A7C0B" w:rsidRDefault="00D53485" w:rsidP="00454922">
      <w:pPr>
        <w:spacing w:line="276" w:lineRule="auto"/>
        <w:jc w:val="both"/>
        <w:rPr>
          <w:rFonts w:ascii="Times New Roman" w:hAnsi="Times New Roman" w:cs="Times New Roman"/>
        </w:rPr>
      </w:pPr>
      <w:r>
        <w:rPr>
          <w:rFonts w:ascii="Times New Roman" w:hAnsi="Times New Roman" w:cs="Times New Roman"/>
        </w:rPr>
        <w:t>Gjithashtu, Zevend</w:t>
      </w:r>
      <w:r w:rsidR="009A7C0B">
        <w:rPr>
          <w:rFonts w:ascii="Times New Roman" w:hAnsi="Times New Roman" w:cs="Times New Roman"/>
        </w:rPr>
        <w:t>ësministri z. Dobi, ritheksoj faktin se n</w:t>
      </w:r>
      <w:r w:rsidR="009A7C0B" w:rsidRPr="009A7C0B">
        <w:rPr>
          <w:rFonts w:ascii="Times New Roman" w:hAnsi="Times New Roman" w:cs="Times New Roman"/>
        </w:rPr>
        <w:t xml:space="preserve">ë kuadër të angazhimeve të Shqipërisë në kuadrin e Partneritetit për Qeverisje të Hapur (OGP), Ministria e Drejtësisë ka vijuar me përkushtim zbatimin e masave të parashikuara në komponentin “Akses në Drejtësi, Informim dhe Edukim Publik”. </w:t>
      </w:r>
      <w:proofErr w:type="gramStart"/>
      <w:r w:rsidR="009A7C0B" w:rsidRPr="009A7C0B">
        <w:rPr>
          <w:rFonts w:ascii="Times New Roman" w:hAnsi="Times New Roman" w:cs="Times New Roman"/>
        </w:rPr>
        <w:t>Ky</w:t>
      </w:r>
      <w:proofErr w:type="gramEnd"/>
      <w:r w:rsidR="009A7C0B" w:rsidRPr="009A7C0B">
        <w:rPr>
          <w:rFonts w:ascii="Times New Roman" w:hAnsi="Times New Roman" w:cs="Times New Roman"/>
        </w:rPr>
        <w:t xml:space="preserve"> komponent ka një rëndësi të veçantë për forcimin e të drejtave të qytetarëve, veçanërisht të grupeve më vulnerabël në shoqëri, duke garantuar </w:t>
      </w:r>
      <w:r w:rsidR="009A7C0B" w:rsidRPr="009A7C0B">
        <w:rPr>
          <w:rFonts w:ascii="Times New Roman" w:hAnsi="Times New Roman" w:cs="Times New Roman"/>
        </w:rPr>
        <w:lastRenderedPageBreak/>
        <w:t xml:space="preserve">transparencë, përfshirje dhe fuqizim ligjor. Objektivi i tij është ndërtimi i një sistemi drejtësie </w:t>
      </w:r>
      <w:proofErr w:type="gramStart"/>
      <w:r w:rsidR="009A7C0B" w:rsidRPr="009A7C0B">
        <w:rPr>
          <w:rFonts w:ascii="Times New Roman" w:hAnsi="Times New Roman" w:cs="Times New Roman"/>
        </w:rPr>
        <w:t>sa</w:t>
      </w:r>
      <w:proofErr w:type="gramEnd"/>
      <w:r w:rsidR="009A7C0B" w:rsidRPr="009A7C0B">
        <w:rPr>
          <w:rFonts w:ascii="Times New Roman" w:hAnsi="Times New Roman" w:cs="Times New Roman"/>
        </w:rPr>
        <w:t xml:space="preserve"> më gjithëpërfshirës, të barabartë dhe të aksesueshëm, përmes informimit, edukimit ligjor dhe ofrimit të shërbimeve cilësore.</w:t>
      </w:r>
    </w:p>
    <w:p w14:paraId="442AC339" w14:textId="77777777" w:rsidR="009A7C0B" w:rsidRPr="009A7C0B" w:rsidRDefault="009A7C0B" w:rsidP="00454922">
      <w:pPr>
        <w:spacing w:line="276" w:lineRule="auto"/>
        <w:jc w:val="both"/>
        <w:rPr>
          <w:rFonts w:ascii="Times New Roman" w:hAnsi="Times New Roman" w:cs="Times New Roman"/>
        </w:rPr>
      </w:pPr>
      <w:r w:rsidRPr="009A7C0B">
        <w:rPr>
          <w:rFonts w:ascii="Times New Roman" w:hAnsi="Times New Roman" w:cs="Times New Roman"/>
        </w:rPr>
        <w:t xml:space="preserve">Ministria e Drejtësisë zbaton masat dhe aktivitetet e parashikuara në Planin e Veprimit të OGP-së përmes Drejtorisë së Ndihmës Juridike Falas (DNJF), Dhomës Kombëtare të Ndërmjetësimit </w:t>
      </w:r>
      <w:proofErr w:type="gramStart"/>
      <w:r w:rsidRPr="009A7C0B">
        <w:rPr>
          <w:rFonts w:ascii="Times New Roman" w:hAnsi="Times New Roman" w:cs="Times New Roman"/>
        </w:rPr>
        <w:t>dhe</w:t>
      </w:r>
      <w:proofErr w:type="gramEnd"/>
      <w:r w:rsidRPr="009A7C0B">
        <w:rPr>
          <w:rFonts w:ascii="Times New Roman" w:hAnsi="Times New Roman" w:cs="Times New Roman"/>
        </w:rPr>
        <w:t xml:space="preserve"> Qendrës për Parandalimin e Krimeve të të Miturve dhe të Rinjve (QPKMR).</w:t>
      </w:r>
    </w:p>
    <w:p w14:paraId="37902B36" w14:textId="77777777" w:rsidR="009A7C0B" w:rsidRPr="009A7C0B" w:rsidRDefault="009A7C0B" w:rsidP="00454922">
      <w:pPr>
        <w:spacing w:line="276" w:lineRule="auto"/>
        <w:jc w:val="both"/>
        <w:rPr>
          <w:rFonts w:ascii="Times New Roman" w:hAnsi="Times New Roman" w:cs="Times New Roman"/>
        </w:rPr>
      </w:pPr>
      <w:r w:rsidRPr="009A7C0B">
        <w:rPr>
          <w:rFonts w:ascii="Times New Roman" w:hAnsi="Times New Roman" w:cs="Times New Roman"/>
        </w:rPr>
        <w:t>Drejtoria e Ndihmës Juridike Falas (DNJF) – Ndihma juridike e garantuar nga shteti përbën një nga format më themelore të aksesit në drejtësi, të cilën çdo shtet duhet ta sigurojë në mënyrë efikase dhe efektive, si një detyrim kushtetues.</w:t>
      </w:r>
    </w:p>
    <w:p w14:paraId="30D697BA" w14:textId="77777777" w:rsidR="009A7C0B" w:rsidRPr="009A7C0B" w:rsidRDefault="009A7C0B" w:rsidP="00454922">
      <w:pPr>
        <w:spacing w:line="276" w:lineRule="auto"/>
        <w:jc w:val="both"/>
        <w:rPr>
          <w:rFonts w:ascii="Times New Roman" w:hAnsi="Times New Roman" w:cs="Times New Roman"/>
        </w:rPr>
      </w:pPr>
      <w:r w:rsidRPr="009A7C0B">
        <w:rPr>
          <w:rFonts w:ascii="Times New Roman" w:hAnsi="Times New Roman" w:cs="Times New Roman"/>
        </w:rPr>
        <w:t>Objektivi kryesor i këtij ligji është ofrimi i ndihmës juridike falas për të gjitha kategoritë e përfituesve të parashikuara në ligjin për ndihmën juridike falas, duke i dhënë përparësi grupeve vulnerabël si përfitues të drejtpërdrejtë të sistemit të ndihmës juridike falas, si dhe personave me të ardhura të pamjaftueshme.</w:t>
      </w:r>
    </w:p>
    <w:p w14:paraId="33877DA2" w14:textId="77777777" w:rsidR="009A7C0B" w:rsidRPr="009A7C0B" w:rsidRDefault="009A7C0B" w:rsidP="00454922">
      <w:pPr>
        <w:spacing w:line="276" w:lineRule="auto"/>
        <w:jc w:val="both"/>
        <w:rPr>
          <w:rFonts w:ascii="Times New Roman" w:hAnsi="Times New Roman" w:cs="Times New Roman"/>
        </w:rPr>
      </w:pPr>
      <w:r w:rsidRPr="009A7C0B">
        <w:rPr>
          <w:rFonts w:ascii="Times New Roman" w:hAnsi="Times New Roman" w:cs="Times New Roman"/>
        </w:rPr>
        <w:t xml:space="preserve">Drejtoria e Ndihmës Juridike Falas bashkëpunon me organizata ndërkombëtare, klinika ligjore, si dhe organizata jofitimprurëse vendase dhe të huaja në zhvillimin e sistemit të ndihmës juridike, përmes aktiviteteve ndërgjegjësuese dhe edukimit ligjor. Çdo muaj, Drejtoria miraton Kalendarin e Aktiviteteve Ndërgjegjësuese, me tema të dedikuara për </w:t>
      </w:r>
      <w:proofErr w:type="gramStart"/>
      <w:r w:rsidRPr="009A7C0B">
        <w:rPr>
          <w:rFonts w:ascii="Times New Roman" w:hAnsi="Times New Roman" w:cs="Times New Roman"/>
        </w:rPr>
        <w:t>kategoritë  përfituesve</w:t>
      </w:r>
      <w:proofErr w:type="gramEnd"/>
      <w:r w:rsidRPr="009A7C0B">
        <w:rPr>
          <w:rFonts w:ascii="Times New Roman" w:hAnsi="Times New Roman" w:cs="Times New Roman"/>
        </w:rPr>
        <w:t xml:space="preserve"> të parashikuara në ligjin nr. </w:t>
      </w:r>
      <w:proofErr w:type="gramStart"/>
      <w:r w:rsidRPr="009A7C0B">
        <w:rPr>
          <w:rFonts w:ascii="Times New Roman" w:hAnsi="Times New Roman" w:cs="Times New Roman"/>
        </w:rPr>
        <w:t>111/2017</w:t>
      </w:r>
      <w:proofErr w:type="gramEnd"/>
      <w:r w:rsidRPr="009A7C0B">
        <w:rPr>
          <w:rFonts w:ascii="Times New Roman" w:hAnsi="Times New Roman" w:cs="Times New Roman"/>
        </w:rPr>
        <w:t>, me theks të veçantë në grupe specifike.</w:t>
      </w:r>
    </w:p>
    <w:p w14:paraId="3792D98E" w14:textId="77777777" w:rsidR="009A7C0B" w:rsidRPr="009A7C0B" w:rsidRDefault="009A7C0B" w:rsidP="00454922">
      <w:pPr>
        <w:spacing w:line="276" w:lineRule="auto"/>
        <w:jc w:val="both"/>
        <w:rPr>
          <w:rFonts w:ascii="Times New Roman" w:hAnsi="Times New Roman" w:cs="Times New Roman"/>
        </w:rPr>
      </w:pPr>
      <w:r w:rsidRPr="009A7C0B">
        <w:rPr>
          <w:rFonts w:ascii="Times New Roman" w:hAnsi="Times New Roman" w:cs="Times New Roman"/>
        </w:rPr>
        <w:t xml:space="preserve">Dhoma Kombëtare e Ndërmjetësimit synon të garantojë për qytetarët një shërbim cilësor dhe profesional, duke shërbyer si një mekanizëm alternativ për zgjidhjen jashtëgjyqësore të konflikteve dhe mosmarrëveshjeve, me kosto të ulët, </w:t>
      </w:r>
      <w:proofErr w:type="gramStart"/>
      <w:r w:rsidRPr="009A7C0B">
        <w:rPr>
          <w:rFonts w:ascii="Times New Roman" w:hAnsi="Times New Roman" w:cs="Times New Roman"/>
        </w:rPr>
        <w:t>brenda</w:t>
      </w:r>
      <w:proofErr w:type="gramEnd"/>
      <w:r w:rsidRPr="009A7C0B">
        <w:rPr>
          <w:rFonts w:ascii="Times New Roman" w:hAnsi="Times New Roman" w:cs="Times New Roman"/>
        </w:rPr>
        <w:t xml:space="preserve"> një afati të shkurtër kohor dhe në mënyrë konfidenciale.</w:t>
      </w:r>
    </w:p>
    <w:p w14:paraId="17B0EC16" w14:textId="77777777" w:rsidR="009A7C0B" w:rsidRPr="009A7C0B" w:rsidRDefault="009A7C0B" w:rsidP="00454922">
      <w:pPr>
        <w:spacing w:line="276" w:lineRule="auto"/>
        <w:jc w:val="both"/>
        <w:rPr>
          <w:rFonts w:ascii="Times New Roman" w:hAnsi="Times New Roman" w:cs="Times New Roman"/>
        </w:rPr>
      </w:pPr>
      <w:r w:rsidRPr="009A7C0B">
        <w:rPr>
          <w:rFonts w:ascii="Times New Roman" w:hAnsi="Times New Roman" w:cs="Times New Roman"/>
        </w:rPr>
        <w:t>Në këtë kuadër, Dhoma Kombëtare e Ndërmjetësimit ka garantuar shërbime cilësore dhe konfidenciale për zgjidhjen jashtëgjyqësore të mosmarrëveshjeve, me fokus të veçantë tek fëmijët dhe grupet vulnerabël. Ajo ka përgatitur dhe publikuar informacion të aksesueshëm dhe miqësor për fëmijët, ka rritur ndërgjegjësimin mbi shërbimet e ndërmjetësimit falas, si dhe ka organizuar fushata informuese si online ashtu edhe në terren.</w:t>
      </w:r>
    </w:p>
    <w:p w14:paraId="795DD71D" w14:textId="77777777" w:rsidR="009A7C0B" w:rsidRPr="009A7C0B" w:rsidRDefault="009A7C0B" w:rsidP="00454922">
      <w:pPr>
        <w:spacing w:line="276" w:lineRule="auto"/>
        <w:jc w:val="both"/>
        <w:rPr>
          <w:rFonts w:ascii="Times New Roman" w:hAnsi="Times New Roman" w:cs="Times New Roman"/>
        </w:rPr>
      </w:pPr>
      <w:r w:rsidRPr="009A7C0B">
        <w:rPr>
          <w:rFonts w:ascii="Times New Roman" w:hAnsi="Times New Roman" w:cs="Times New Roman"/>
        </w:rPr>
        <w:t>Qendra për Parandalimin e Krimeve të të Miturve dhe të Rinjve (QPKMR), e cila ka si qellimn parësor parandalimin e krimeve të kryera nga të miturit dhe të rinjtë, si dhe rehabilitimin dhe riintegrimin e të miturve në shoqëri. Qendra ka ndërmarrë aktivitete me qëllim rritjen e ndërgjegjësimit të publikut të gjerë dhe përmirësimin e aksesit të qytetarëve në drejtësi përmes Edukimit Ligjor. Qëllimi i kësaj fushate është informimi i të miturve duke i njohur ata me parimet e drejtësisë penale për të miturit, si dhe me programet parandaluese, rehabilituese dhe të riintegrimit të zhvilluara nga Ministria e Drejtësisë në bashkëpunim me QPKMR.</w:t>
      </w:r>
    </w:p>
    <w:p w14:paraId="44814261" w14:textId="0C9B06B5" w:rsidR="00C77C6C" w:rsidRPr="00E1490E" w:rsidRDefault="00C77C6C" w:rsidP="00454922">
      <w:pPr>
        <w:spacing w:line="276" w:lineRule="auto"/>
        <w:jc w:val="both"/>
        <w:rPr>
          <w:rFonts w:ascii="Times New Roman" w:hAnsi="Times New Roman" w:cs="Times New Roman"/>
        </w:rPr>
      </w:pPr>
      <w:proofErr w:type="gramStart"/>
      <w:r w:rsidRPr="00E1490E">
        <w:rPr>
          <w:rFonts w:ascii="Times New Roman" w:hAnsi="Times New Roman" w:cs="Times New Roman"/>
        </w:rPr>
        <w:t xml:space="preserve">Në kuadër të hartimit të </w:t>
      </w:r>
      <w:r w:rsidRPr="009A7C0B">
        <w:rPr>
          <w:rFonts w:ascii="Times New Roman" w:hAnsi="Times New Roman" w:cs="Times New Roman"/>
          <w:iCs/>
        </w:rPr>
        <w:t>Planit të ri të Veprimit OGP 2026–2030</w:t>
      </w:r>
      <w:r w:rsidRPr="00E1490E">
        <w:rPr>
          <w:rFonts w:ascii="Times New Roman" w:hAnsi="Times New Roman" w:cs="Times New Roman"/>
        </w:rPr>
        <w:t xml:space="preserve"> dhe në përputhje me fushën e përgjegjësisë së Ministrisë së Drejtësisë për “Aksesin në Drejtësi”, u bë me dije gjatë takimit se institucioni ka përgatitur një pyetësor, me qëllim mbledhjen e vlerësimeve dhe sugjerimeve nga shoqëria civile mbi fushat prioritare të ndërhyrjes dhe mbi punën institucionale rreth këtij kompontenti dhe më gjërë.</w:t>
      </w:r>
      <w:proofErr w:type="gramEnd"/>
      <w:r w:rsidRPr="00E1490E">
        <w:rPr>
          <w:rFonts w:ascii="Times New Roman" w:hAnsi="Times New Roman" w:cs="Times New Roman"/>
        </w:rPr>
        <w:t xml:space="preserve"> Pyetësori është hartuar në frymën e parimeve të OGP-së dhe do t’u dërgohet organizatave të shoqërisë civile përmes email-it. Pas përpunimit të përgjigjeve, </w:t>
      </w:r>
      <w:r w:rsidRPr="00E1490E">
        <w:rPr>
          <w:rFonts w:ascii="Times New Roman" w:hAnsi="Times New Roman" w:cs="Times New Roman"/>
        </w:rPr>
        <w:lastRenderedPageBreak/>
        <w:t xml:space="preserve">kontributet do të shërbejnë si bazë për përcaktimin e prioriteteve dhe masave konkrete në Planin e </w:t>
      </w:r>
      <w:proofErr w:type="gramStart"/>
      <w:r w:rsidRPr="00E1490E">
        <w:rPr>
          <w:rFonts w:ascii="Times New Roman" w:hAnsi="Times New Roman" w:cs="Times New Roman"/>
        </w:rPr>
        <w:t>ri</w:t>
      </w:r>
      <w:proofErr w:type="gramEnd"/>
      <w:r w:rsidRPr="00E1490E">
        <w:rPr>
          <w:rFonts w:ascii="Times New Roman" w:hAnsi="Times New Roman" w:cs="Times New Roman"/>
        </w:rPr>
        <w:t xml:space="preserve"> të Veprimit. </w:t>
      </w:r>
    </w:p>
    <w:p w14:paraId="751734F8" w14:textId="03581B13" w:rsidR="00003C8C" w:rsidRPr="00E1490E" w:rsidRDefault="00C77C6C" w:rsidP="00454922">
      <w:pPr>
        <w:spacing w:line="276" w:lineRule="auto"/>
        <w:jc w:val="both"/>
        <w:rPr>
          <w:rFonts w:ascii="Times New Roman" w:hAnsi="Times New Roman" w:cs="Times New Roman"/>
        </w:rPr>
      </w:pPr>
      <w:r w:rsidRPr="00E1490E">
        <w:rPr>
          <w:rFonts w:ascii="Times New Roman" w:hAnsi="Times New Roman" w:cs="Times New Roman"/>
        </w:rPr>
        <w:t xml:space="preserve">Në takim ishte e pranishme edhe </w:t>
      </w:r>
      <w:r w:rsidRPr="00E1490E">
        <w:rPr>
          <w:rFonts w:ascii="Times New Roman" w:hAnsi="Times New Roman" w:cs="Times New Roman"/>
          <w:u w:val="single"/>
        </w:rPr>
        <w:t xml:space="preserve">znj. Xhexhaj (keshilltar), përfaqësuese e Ministrit të Shtetit për Administratën Publike dhe Antikorrupsionin, në cilësinë e institucionit </w:t>
      </w:r>
      <w:proofErr w:type="gramStart"/>
      <w:r w:rsidRPr="00E1490E">
        <w:rPr>
          <w:rFonts w:ascii="Times New Roman" w:hAnsi="Times New Roman" w:cs="Times New Roman"/>
          <w:u w:val="single"/>
        </w:rPr>
        <w:t>koordinues</w:t>
      </w:r>
      <w:proofErr w:type="gramEnd"/>
      <w:r w:rsidRPr="00E1490E">
        <w:rPr>
          <w:rFonts w:ascii="Times New Roman" w:hAnsi="Times New Roman" w:cs="Times New Roman"/>
          <w:u w:val="single"/>
        </w:rPr>
        <w:t xml:space="preserve"> të procesit OGP</w:t>
      </w:r>
      <w:r w:rsidRPr="00E1490E">
        <w:rPr>
          <w:rFonts w:ascii="Times New Roman" w:hAnsi="Times New Roman" w:cs="Times New Roman"/>
        </w:rPr>
        <w:t>.</w:t>
      </w:r>
      <w:r w:rsidR="00935008" w:rsidRPr="00E1490E">
        <w:rPr>
          <w:rFonts w:ascii="Times New Roman" w:hAnsi="Times New Roman" w:cs="Times New Roman"/>
        </w:rPr>
        <w:t xml:space="preserve"> </w:t>
      </w:r>
      <w:proofErr w:type="gramStart"/>
      <w:r w:rsidRPr="00E1490E">
        <w:rPr>
          <w:rFonts w:ascii="Times New Roman" w:hAnsi="Times New Roman" w:cs="Times New Roman"/>
        </w:rPr>
        <w:t>znj</w:t>
      </w:r>
      <w:proofErr w:type="gramEnd"/>
      <w:r w:rsidRPr="00E1490E">
        <w:rPr>
          <w:rFonts w:ascii="Times New Roman" w:hAnsi="Times New Roman" w:cs="Times New Roman"/>
        </w:rPr>
        <w:t>. Xhexhaj, theksoi rëndësinë e bashkëpunimit ndërinstitucional dhe të përfshirjes aktive të shoqërisë civile, si dhe shpjegoi hapat që do të ndiqen në vijim për hartimin, konsultimin dhe miratimin e Planit të Veprimit 2026-2030.</w:t>
      </w:r>
    </w:p>
    <w:p w14:paraId="36459264" w14:textId="09D71E3B" w:rsidR="00E1490E" w:rsidRPr="00E1490E" w:rsidRDefault="00E1490E" w:rsidP="00454922">
      <w:pPr>
        <w:spacing w:after="0" w:line="276" w:lineRule="auto"/>
        <w:jc w:val="both"/>
        <w:textAlignment w:val="baseline"/>
        <w:rPr>
          <w:rFonts w:ascii="Times New Roman" w:eastAsia="Times New Roman" w:hAnsi="Times New Roman" w:cs="Times New Roman"/>
          <w:color w:val="000000"/>
          <w:kern w:val="0"/>
          <w14:ligatures w14:val="none"/>
        </w:rPr>
      </w:pPr>
      <w:r w:rsidRPr="00E1490E">
        <w:rPr>
          <w:rFonts w:ascii="Times New Roman" w:eastAsia="Times New Roman" w:hAnsi="Times New Roman" w:cs="Times New Roman"/>
          <w:color w:val="000000"/>
          <w:kern w:val="0"/>
          <w14:ligatures w14:val="none"/>
        </w:rPr>
        <w:t>Gjatë takimit, përfaqësues nga shoqëria civile shprehën shqetësimin se Ministria e Drejtësisë nuk po garanton akses në drejtësi në mënyrë të njëjtë si vitet e mëparshme.</w:t>
      </w:r>
    </w:p>
    <w:p w14:paraId="260DD7A1" w14:textId="77777777" w:rsidR="00E1490E" w:rsidRPr="00E1490E" w:rsidRDefault="00E1490E" w:rsidP="00454922">
      <w:pPr>
        <w:spacing w:after="0" w:line="276" w:lineRule="auto"/>
        <w:jc w:val="both"/>
        <w:textAlignment w:val="baseline"/>
        <w:rPr>
          <w:rFonts w:ascii="Times New Roman" w:eastAsia="Times New Roman" w:hAnsi="Times New Roman" w:cs="Times New Roman"/>
          <w:color w:val="000000"/>
          <w:kern w:val="0"/>
          <w14:ligatures w14:val="none"/>
        </w:rPr>
      </w:pPr>
    </w:p>
    <w:p w14:paraId="7C15F208" w14:textId="77777777" w:rsidR="00E1490E" w:rsidRPr="00E1490E" w:rsidRDefault="00E1490E" w:rsidP="00454922">
      <w:pPr>
        <w:spacing w:after="0" w:line="276" w:lineRule="auto"/>
        <w:jc w:val="both"/>
        <w:textAlignment w:val="baseline"/>
        <w:rPr>
          <w:rFonts w:ascii="Times New Roman" w:eastAsia="Times New Roman" w:hAnsi="Times New Roman" w:cs="Times New Roman"/>
          <w:color w:val="000000"/>
          <w:kern w:val="0"/>
          <w14:ligatures w14:val="none"/>
        </w:rPr>
      </w:pPr>
      <w:r w:rsidRPr="00E1490E">
        <w:rPr>
          <w:rFonts w:ascii="Times New Roman" w:eastAsia="Times New Roman" w:hAnsi="Times New Roman" w:cs="Times New Roman"/>
          <w:color w:val="000000"/>
          <w:kern w:val="0"/>
          <w14:ligatures w14:val="none"/>
        </w:rPr>
        <w:t xml:space="preserve">Zëvendësministri i Drejtësisë u shpreh se </w:t>
      </w:r>
      <w:proofErr w:type="gramStart"/>
      <w:r w:rsidRPr="00E1490E">
        <w:rPr>
          <w:rFonts w:ascii="Times New Roman" w:eastAsia="Times New Roman" w:hAnsi="Times New Roman" w:cs="Times New Roman"/>
          <w:color w:val="000000"/>
          <w:kern w:val="0"/>
          <w14:ligatures w14:val="none"/>
        </w:rPr>
        <w:t>ky</w:t>
      </w:r>
      <w:proofErr w:type="gramEnd"/>
      <w:r w:rsidRPr="00E1490E">
        <w:rPr>
          <w:rFonts w:ascii="Times New Roman" w:eastAsia="Times New Roman" w:hAnsi="Times New Roman" w:cs="Times New Roman"/>
          <w:color w:val="000000"/>
          <w:kern w:val="0"/>
          <w14:ligatures w14:val="none"/>
        </w:rPr>
        <w:t xml:space="preserve"> konstatim nuk qëndron, duke theksuar se Ministria i ka kushtuar një prioritet të veçantë politikës së aksesit në drejtësi, e përfshirë në Strategjinë Ndërsektoriale të Drejtësisë 2024–2030. Kjo strategji përmban aktivitete dhe masa konkrete për promovimin e aksesit në drejtësi, duke përfshirë fushata informimi për kategori të ndryshme qytetarësh, si dhe trajnimin dhe informimin e profesionistëve që ofrojnë shërbime juridike.</w:t>
      </w:r>
    </w:p>
    <w:p w14:paraId="70F32619" w14:textId="77777777" w:rsidR="00E1490E" w:rsidRPr="00E1490E" w:rsidRDefault="00E1490E" w:rsidP="00454922">
      <w:pPr>
        <w:spacing w:after="0" w:line="276" w:lineRule="auto"/>
        <w:jc w:val="both"/>
        <w:textAlignment w:val="baseline"/>
        <w:rPr>
          <w:rFonts w:ascii="Times New Roman" w:eastAsia="Times New Roman" w:hAnsi="Times New Roman" w:cs="Times New Roman"/>
          <w:color w:val="000000"/>
          <w:kern w:val="0"/>
          <w14:ligatures w14:val="none"/>
        </w:rPr>
      </w:pPr>
    </w:p>
    <w:p w14:paraId="3B097D66" w14:textId="77777777" w:rsidR="00E1490E" w:rsidRPr="00E1490E" w:rsidRDefault="00E1490E" w:rsidP="00454922">
      <w:pPr>
        <w:spacing w:after="0" w:line="276" w:lineRule="auto"/>
        <w:jc w:val="both"/>
        <w:textAlignment w:val="baseline"/>
        <w:rPr>
          <w:rFonts w:ascii="Times New Roman" w:eastAsia="Times New Roman" w:hAnsi="Times New Roman" w:cs="Times New Roman"/>
          <w:color w:val="000000"/>
          <w:kern w:val="0"/>
          <w14:ligatures w14:val="none"/>
        </w:rPr>
      </w:pPr>
      <w:r w:rsidRPr="00E1490E">
        <w:rPr>
          <w:rFonts w:ascii="Times New Roman" w:eastAsia="Times New Roman" w:hAnsi="Times New Roman" w:cs="Times New Roman"/>
          <w:color w:val="000000"/>
          <w:kern w:val="0"/>
          <w14:ligatures w14:val="none"/>
        </w:rPr>
        <w:t>Ai shtoi gjithashtu se ndihma juridike e garantuar nga shteti realizon fushata informuese dhe ofron shërbime në të gjithë territorin e Republikës së Shqipërisë, përmes drejtorive vendore dhe klinikave ligjore, duke siguruar mbulimin e plotë dhe qasjen e drejtë të shtetasve në nevojë për ndihmë juridike.</w:t>
      </w:r>
    </w:p>
    <w:p w14:paraId="46E7380F" w14:textId="24389A67" w:rsidR="00E1490E" w:rsidRDefault="00E1490E" w:rsidP="00E1490E">
      <w:pPr>
        <w:jc w:val="both"/>
        <w:rPr>
          <w:rFonts w:ascii="Times New Roman" w:hAnsi="Times New Roman" w:cs="Times New Roman"/>
          <w:iCs/>
        </w:rPr>
      </w:pPr>
    </w:p>
    <w:p w14:paraId="2419F71A" w14:textId="77777777" w:rsidR="00454922" w:rsidRPr="00454922" w:rsidRDefault="00D53485" w:rsidP="00E1490E">
      <w:pPr>
        <w:jc w:val="both"/>
        <w:rPr>
          <w:i/>
          <w:color w:val="000000"/>
          <w:sz w:val="27"/>
          <w:szCs w:val="27"/>
        </w:rPr>
      </w:pPr>
      <w:r w:rsidRPr="00454922">
        <w:rPr>
          <w:rFonts w:ascii="Times New Roman" w:hAnsi="Times New Roman" w:cs="Times New Roman"/>
          <w:b/>
          <w:i/>
          <w:iCs/>
        </w:rPr>
        <w:t>Konkluzionet:</w:t>
      </w:r>
      <w:r w:rsidRPr="00454922">
        <w:rPr>
          <w:i/>
          <w:color w:val="000000"/>
          <w:sz w:val="27"/>
          <w:szCs w:val="27"/>
        </w:rPr>
        <w:t xml:space="preserve"> </w:t>
      </w:r>
    </w:p>
    <w:p w14:paraId="117A301E" w14:textId="743419A0" w:rsidR="00454922" w:rsidRPr="00454922" w:rsidRDefault="00454922" w:rsidP="00FE7C5F">
      <w:pPr>
        <w:spacing w:line="276" w:lineRule="auto"/>
        <w:jc w:val="both"/>
        <w:rPr>
          <w:rFonts w:ascii="Times New Roman" w:hAnsi="Times New Roman" w:cs="Times New Roman"/>
          <w:color w:val="000000"/>
        </w:rPr>
      </w:pPr>
      <w:r w:rsidRPr="00454922">
        <w:rPr>
          <w:rFonts w:ascii="Times New Roman" w:hAnsi="Times New Roman" w:cs="Times New Roman"/>
          <w:color w:val="000000"/>
        </w:rPr>
        <w:t xml:space="preserve">Takimi i parë u organizua në përputhje me parimet e Open Government Partnership (OGP), duke synuar transparencë, përfshirje dhe bashkëkrijim me të gjitha grupet e interesit. Ai solli së bashku përfaqësuesit e institucioneve publike të thirrura nga Ministria e Drejtësisë, organizatat e shoqërisë civile, në kuadër të procesit të bashkërendimit për përgatitjen e Planit Kombëtar të Veprimit (PKV) 2026–2030. </w:t>
      </w:r>
    </w:p>
    <w:p w14:paraId="33F8513C" w14:textId="1794B02A" w:rsidR="00454922" w:rsidRDefault="00454922" w:rsidP="00454922">
      <w:pPr>
        <w:spacing w:line="276" w:lineRule="auto"/>
        <w:jc w:val="both"/>
        <w:rPr>
          <w:rFonts w:ascii="Times New Roman" w:hAnsi="Times New Roman" w:cs="Times New Roman"/>
          <w:color w:val="000000"/>
        </w:rPr>
      </w:pPr>
      <w:r w:rsidRPr="00454922">
        <w:rPr>
          <w:rFonts w:ascii="Times New Roman" w:hAnsi="Times New Roman" w:cs="Times New Roman"/>
          <w:color w:val="000000"/>
        </w:rPr>
        <w:t>Gjithashtu, u prezantua Kuadri Metodologjik i procesit të bashkëkrijimit, përfshirë hapat e hartimit të Planit të Veprimit dhe mënyrën e angazhimit të palëve të interesuara. Ministria e Drejtësisë njoftoi se ka përgatitur një pyetësor, në përputhje me parimet e OGP dhe fushën e përgjegjësisë së saj, i cili do t’u dërgohet aktorëve të përfshirë për plotësim përmes email-it.</w:t>
      </w:r>
    </w:p>
    <w:p w14:paraId="5DA50621" w14:textId="77777777" w:rsidR="00454922" w:rsidRDefault="00454922" w:rsidP="00454922">
      <w:pPr>
        <w:spacing w:line="276" w:lineRule="auto"/>
        <w:jc w:val="both"/>
        <w:rPr>
          <w:rFonts w:ascii="Times New Roman" w:hAnsi="Times New Roman" w:cs="Times New Roman"/>
          <w:color w:val="000000"/>
        </w:rPr>
      </w:pPr>
    </w:p>
    <w:p w14:paraId="6D9C4AF7" w14:textId="77777777" w:rsidR="00454922" w:rsidRDefault="00454922" w:rsidP="00454922">
      <w:pPr>
        <w:spacing w:line="276" w:lineRule="auto"/>
        <w:jc w:val="both"/>
        <w:rPr>
          <w:rFonts w:ascii="Times New Roman" w:hAnsi="Times New Roman" w:cs="Times New Roman"/>
          <w:color w:val="000000"/>
        </w:rPr>
      </w:pPr>
    </w:p>
    <w:p w14:paraId="00435CAE" w14:textId="5E7A2D0D" w:rsidR="0092203E" w:rsidRPr="00E1490E" w:rsidRDefault="0092203E" w:rsidP="00E1490E">
      <w:pPr>
        <w:jc w:val="both"/>
        <w:rPr>
          <w:rFonts w:ascii="Times New Roman" w:hAnsi="Times New Roman" w:cs="Times New Roman"/>
          <w:iCs/>
        </w:rPr>
      </w:pPr>
    </w:p>
    <w:sectPr w:rsidR="0092203E" w:rsidRPr="00E1490E" w:rsidSect="00992AA2">
      <w:headerReference w:type="default" r:id="rId8"/>
      <w:headerReference w:type="first" r:id="rId9"/>
      <w:footerReference w:type="first" r:id="rId10"/>
      <w:pgSz w:w="11906" w:h="16838"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E7C4A" w14:textId="77777777" w:rsidR="00685DCA" w:rsidRDefault="00685DCA" w:rsidP="00003C8C">
      <w:pPr>
        <w:spacing w:after="0" w:line="240" w:lineRule="auto"/>
      </w:pPr>
      <w:r>
        <w:separator/>
      </w:r>
    </w:p>
  </w:endnote>
  <w:endnote w:type="continuationSeparator" w:id="0">
    <w:p w14:paraId="40227E91" w14:textId="77777777" w:rsidR="00685DCA" w:rsidRDefault="00685DCA" w:rsidP="00003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6518C" w14:textId="77777777" w:rsidR="00992AA2" w:rsidRPr="00596ADB" w:rsidRDefault="00992AA2" w:rsidP="00992AA2">
    <w:pPr>
      <w:pStyle w:val="Footer"/>
      <w:pBdr>
        <w:top w:val="single" w:sz="4" w:space="1" w:color="auto"/>
      </w:pBdr>
      <w:jc w:val="center"/>
      <w:rPr>
        <w:rFonts w:ascii="Book Antiqua" w:hAnsi="Book Antiqua"/>
        <w:sz w:val="18"/>
        <w:szCs w:val="18"/>
      </w:rPr>
    </w:pPr>
    <w:r w:rsidRPr="00596ADB">
      <w:rPr>
        <w:rFonts w:ascii="Book Antiqua" w:hAnsi="Book Antiqua"/>
        <w:sz w:val="18"/>
        <w:szCs w:val="18"/>
      </w:rPr>
      <w:t>Bulevardi</w:t>
    </w:r>
    <w:proofErr w:type="gramStart"/>
    <w:r w:rsidRPr="00596ADB">
      <w:rPr>
        <w:rFonts w:ascii="Book Antiqua" w:hAnsi="Book Antiqua"/>
        <w:sz w:val="18"/>
        <w:szCs w:val="18"/>
      </w:rPr>
      <w:t>  “</w:t>
    </w:r>
    <w:proofErr w:type="gramEnd"/>
    <w:r w:rsidRPr="00596ADB">
      <w:rPr>
        <w:rFonts w:ascii="Book Antiqua" w:hAnsi="Book Antiqua"/>
        <w:sz w:val="18"/>
        <w:szCs w:val="18"/>
      </w:rPr>
      <w:t xml:space="preserve">Zog I – rë”, Tiranë    </w:t>
    </w:r>
    <w:r>
      <w:rPr>
        <w:rFonts w:ascii="Book Antiqua" w:hAnsi="Book Antiqua"/>
        <w:sz w:val="18"/>
        <w:szCs w:val="18"/>
      </w:rPr>
      <w:t xml:space="preserve">  </w:t>
    </w:r>
    <w:r w:rsidRPr="00596ADB">
      <w:rPr>
        <w:rFonts w:ascii="Book Antiqua" w:hAnsi="Book Antiqua"/>
        <w:sz w:val="18"/>
        <w:szCs w:val="18"/>
      </w:rPr>
      <w:t xml:space="preserve">Tel:  +355 4 2259 390    </w:t>
    </w:r>
    <w:r>
      <w:rPr>
        <w:rFonts w:ascii="Book Antiqua" w:hAnsi="Book Antiqua"/>
        <w:sz w:val="18"/>
        <w:szCs w:val="18"/>
      </w:rPr>
      <w:t xml:space="preserve">  </w:t>
    </w:r>
    <w:hyperlink r:id="rId1" w:history="1">
      <w:r w:rsidRPr="00527076">
        <w:rPr>
          <w:rStyle w:val="Hyperlink"/>
          <w:rFonts w:ascii="Book Antiqua" w:hAnsi="Book Antiqua"/>
          <w:sz w:val="18"/>
          <w:szCs w:val="18"/>
        </w:rPr>
        <w:t>https://www.drejtesia.gov.al/</w:t>
      </w:r>
    </w:hyperlink>
    <w:r w:rsidRPr="00596ADB">
      <w:rPr>
        <w:rFonts w:ascii="Book Antiqua" w:hAnsi="Book Antiqua"/>
        <w:sz w:val="18"/>
        <w:szCs w:val="18"/>
      </w:rPr>
      <w:t xml:space="preserve">    </w:t>
    </w:r>
    <w:r>
      <w:rPr>
        <w:rFonts w:ascii="Book Antiqua" w:hAnsi="Book Antiqua"/>
        <w:sz w:val="18"/>
        <w:szCs w:val="18"/>
      </w:rPr>
      <w:t xml:space="preserve">  </w:t>
    </w:r>
    <w:hyperlink r:id="rId2" w:history="1">
      <w:r w:rsidRPr="00527076">
        <w:rPr>
          <w:rStyle w:val="Hyperlink"/>
          <w:rFonts w:ascii="Book Antiqua" w:hAnsi="Book Antiqua"/>
          <w:sz w:val="18"/>
          <w:szCs w:val="18"/>
        </w:rPr>
        <w:t>info@drejtesia.gov.al</w:t>
      </w:r>
    </w:hyperlink>
  </w:p>
  <w:p w14:paraId="5E24C013" w14:textId="77777777" w:rsidR="00992AA2" w:rsidRDefault="00992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16B8C" w14:textId="77777777" w:rsidR="00685DCA" w:rsidRDefault="00685DCA" w:rsidP="00003C8C">
      <w:pPr>
        <w:spacing w:after="0" w:line="240" w:lineRule="auto"/>
      </w:pPr>
      <w:r>
        <w:separator/>
      </w:r>
    </w:p>
  </w:footnote>
  <w:footnote w:type="continuationSeparator" w:id="0">
    <w:p w14:paraId="3CDE6A85" w14:textId="77777777" w:rsidR="00685DCA" w:rsidRDefault="00685DCA" w:rsidP="00003C8C">
      <w:pPr>
        <w:spacing w:after="0" w:line="240" w:lineRule="auto"/>
      </w:pPr>
      <w:r>
        <w:continuationSeparator/>
      </w:r>
    </w:p>
  </w:footnote>
  <w:footnote w:id="1">
    <w:p w14:paraId="62F15865" w14:textId="77777777" w:rsidR="00531201" w:rsidRPr="00E1490E" w:rsidRDefault="00531201" w:rsidP="00531201">
      <w:pPr>
        <w:jc w:val="both"/>
        <w:rPr>
          <w:rFonts w:ascii="Times New Roman" w:hAnsi="Times New Roman" w:cs="Times New Roman"/>
          <w:i/>
          <w:iCs/>
        </w:rPr>
      </w:pPr>
      <w:r>
        <w:rPr>
          <w:rStyle w:val="FootnoteReference"/>
        </w:rPr>
        <w:footnoteRef/>
      </w:r>
      <w:r>
        <w:t xml:space="preserve"> </w:t>
      </w:r>
      <w:r w:rsidRPr="00E1490E">
        <w:rPr>
          <w:rFonts w:ascii="Times New Roman" w:hAnsi="Times New Roman" w:cs="Times New Roman"/>
          <w:i/>
          <w:iCs/>
        </w:rPr>
        <w:t xml:space="preserve"> </w:t>
      </w:r>
      <w:r w:rsidRPr="00531201">
        <w:rPr>
          <w:rFonts w:ascii="Times New Roman" w:hAnsi="Times New Roman" w:cs="Times New Roman"/>
          <w:i/>
          <w:iCs/>
          <w:sz w:val="16"/>
          <w:szCs w:val="16"/>
        </w:rPr>
        <w:t>(</w:t>
      </w:r>
      <w:r w:rsidRPr="00531201">
        <w:rPr>
          <w:rFonts w:ascii="Times New Roman" w:hAnsi="Times New Roman" w:cs="Times New Roman"/>
          <w:i/>
          <w:sz w:val="16"/>
          <w:szCs w:val="16"/>
        </w:rPr>
        <w:t xml:space="preserve">Takimi i parë është zhvilluar më datë </w:t>
      </w:r>
      <w:r w:rsidRPr="00531201">
        <w:rPr>
          <w:rFonts w:ascii="Times New Roman" w:hAnsi="Times New Roman" w:cs="Times New Roman"/>
          <w:bCs/>
          <w:i/>
          <w:sz w:val="16"/>
          <w:szCs w:val="16"/>
        </w:rPr>
        <w:t>17 shkurt 2026</w:t>
      </w:r>
      <w:r w:rsidRPr="00531201">
        <w:rPr>
          <w:rFonts w:ascii="Times New Roman" w:hAnsi="Times New Roman" w:cs="Times New Roman"/>
          <w:i/>
          <w:sz w:val="16"/>
          <w:szCs w:val="16"/>
        </w:rPr>
        <w:t xml:space="preserve">, </w:t>
      </w:r>
      <w:r w:rsidRPr="00531201">
        <w:rPr>
          <w:rFonts w:ascii="Times New Roman" w:hAnsi="Times New Roman" w:cs="Times New Roman"/>
          <w:i/>
          <w:iCs/>
          <w:sz w:val="16"/>
          <w:szCs w:val="16"/>
        </w:rPr>
        <w:t>ftesa për ojf-të dhe institucioneve ju është dërguar me email më datë 11 shkurt 2026, rreth 150 organizatave jofitimprurëse dhe institucioneve, përfshirë edhe institucionet në varësi të Ministrisë së Drejtësisë. Gjithashtu, ftesa, së bashku me një përshkrim të shkurtër të takimit, është publikuar paraprakisht edhe në faqen zyrtare të Ministrisë së Drejtësisë, në funksion të transparencës dhe gjithëpërfshirjes. Linku i publikimit të ftesës dhe njoftimi nga Ministria e Drejtësisë: https://www.drejtesia.gov.al/procesi-i-bashke-krijimit-per-hartimin-e-planit-kombetar-te-veprimit-ogp-2026-2030-ne-fushen-e-aksesit-ne-drejtesi/).</w:t>
      </w:r>
    </w:p>
    <w:p w14:paraId="22BB22AA" w14:textId="6F92847B" w:rsidR="00531201" w:rsidRDefault="0053120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85F35" w14:textId="01C265CE" w:rsidR="00003C8C" w:rsidRPr="00003C8C" w:rsidRDefault="00003C8C" w:rsidP="00C77C6C">
    <w:pPr>
      <w:pStyle w:val="Header"/>
      <w:tabs>
        <w:tab w:val="left" w:pos="8433"/>
      </w:tabs>
      <w:rPr>
        <w:rFonts w:ascii="Book Antiqua" w:hAnsi="Book Antiqua" w:cs="Times New Roman"/>
        <w:b/>
        <w:b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D9D22" w14:textId="2161A0CB" w:rsidR="00C77C6C" w:rsidRDefault="00744419" w:rsidP="00744419">
    <w:pPr>
      <w:pStyle w:val="Header"/>
      <w:tabs>
        <w:tab w:val="left" w:pos="8433"/>
      </w:tabs>
      <w:jc w:val="center"/>
    </w:pPr>
    <w:r w:rsidRPr="00744419">
      <w:rPr>
        <w:noProof/>
      </w:rPr>
      <w:drawing>
        <wp:inline distT="0" distB="0" distL="0" distR="0" wp14:anchorId="381DB709" wp14:editId="21A58D24">
          <wp:extent cx="5473700" cy="736600"/>
          <wp:effectExtent l="0" t="0" r="0" b="6350"/>
          <wp:docPr id="1673659987" name="Picture 4" descr="P R O J E K T L I G J PËR AKTIVITETET E TURIZMIT DE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 R O J E K T L I G J PËR AKTIVITETET E TURIZMIT DETAR"/>
                  <pic:cNvPicPr>
                    <a:picLocks noChangeAspect="1" noChangeArrowheads="1"/>
                  </pic:cNvPicPr>
                </pic:nvPicPr>
                <pic:blipFill rotWithShape="1">
                  <a:blip r:embed="rId1">
                    <a:extLst>
                      <a:ext uri="{28A0092B-C50C-407E-A947-70E740481C1C}">
                        <a14:useLocalDpi xmlns:a14="http://schemas.microsoft.com/office/drawing/2010/main" val="0"/>
                      </a:ext>
                    </a:extLst>
                  </a:blip>
                  <a:srcRect l="1934" b="17948"/>
                  <a:stretch>
                    <a:fillRect/>
                  </a:stretch>
                </pic:blipFill>
                <pic:spPr bwMode="auto">
                  <a:xfrm>
                    <a:off x="0" y="0"/>
                    <a:ext cx="5486682" cy="738347"/>
                  </a:xfrm>
                  <a:prstGeom prst="rect">
                    <a:avLst/>
                  </a:prstGeom>
                  <a:noFill/>
                  <a:ln>
                    <a:noFill/>
                  </a:ln>
                  <a:extLst>
                    <a:ext uri="{53640926-AAD7-44D8-BBD7-CCE9431645EC}">
                      <a14:shadowObscured xmlns:a14="http://schemas.microsoft.com/office/drawing/2010/main"/>
                    </a:ext>
                  </a:extLst>
                </pic:spPr>
              </pic:pic>
            </a:graphicData>
          </a:graphic>
        </wp:inline>
      </w:drawing>
    </w:r>
  </w:p>
  <w:p w14:paraId="7492A93A" w14:textId="77777777" w:rsidR="00C77C6C" w:rsidRPr="00D0737C" w:rsidRDefault="00C77C6C" w:rsidP="00C77C6C">
    <w:pPr>
      <w:pStyle w:val="Header"/>
      <w:tabs>
        <w:tab w:val="left" w:pos="8433"/>
      </w:tabs>
      <w:jc w:val="center"/>
      <w:rPr>
        <w:rFonts w:ascii="Book Antiqua" w:hAnsi="Book Antiqua" w:cs="Times New Roman"/>
        <w:b/>
        <w:bCs/>
        <w:sz w:val="22"/>
        <w:szCs w:val="22"/>
      </w:rPr>
    </w:pPr>
    <w:r w:rsidRPr="00D0737C">
      <w:rPr>
        <w:rFonts w:ascii="Book Antiqua" w:hAnsi="Book Antiqua" w:cs="Times New Roman"/>
        <w:b/>
        <w:bCs/>
        <w:sz w:val="22"/>
        <w:szCs w:val="22"/>
      </w:rPr>
      <w:t>MINISTRIA E DREJTËSISË</w:t>
    </w:r>
  </w:p>
  <w:p w14:paraId="1F4A3E53" w14:textId="1F1EF5A4" w:rsidR="00C77C6C" w:rsidRDefault="00C77C6C" w:rsidP="001E1EDF">
    <w:pPr>
      <w:pStyle w:val="Header"/>
      <w:tabs>
        <w:tab w:val="left" w:pos="8433"/>
      </w:tabs>
      <w:jc w:val="center"/>
      <w:rPr>
        <w:rFonts w:ascii="Book Antiqua" w:hAnsi="Book Antiqua" w:cs="Times New Roman"/>
        <w:b/>
        <w:bCs/>
        <w:sz w:val="22"/>
        <w:szCs w:val="22"/>
      </w:rPr>
    </w:pPr>
    <w:r w:rsidRPr="00D0737C">
      <w:rPr>
        <w:rFonts w:ascii="Book Antiqua" w:hAnsi="Book Antiqua" w:cs="Times New Roman"/>
        <w:b/>
        <w:bCs/>
        <w:sz w:val="22"/>
        <w:szCs w:val="22"/>
      </w:rPr>
      <w:t>DREJTORIA E PËRGJITHSHME E POLITIKAVE DHE PROJEKTEVE NË FUSHËN E DREJTËSISË, INTEGRIMIT DHE NEGO</w:t>
    </w:r>
    <w:r>
      <w:rPr>
        <w:rFonts w:ascii="Book Antiqua" w:hAnsi="Book Antiqua" w:cs="Times New Roman"/>
        <w:b/>
        <w:bCs/>
        <w:sz w:val="22"/>
        <w:szCs w:val="22"/>
      </w:rPr>
      <w:t>C</w:t>
    </w:r>
    <w:r w:rsidRPr="00D0737C">
      <w:rPr>
        <w:rFonts w:ascii="Book Antiqua" w:hAnsi="Book Antiqua" w:cs="Times New Roman"/>
        <w:b/>
        <w:bCs/>
        <w:sz w:val="22"/>
        <w:szCs w:val="22"/>
      </w:rPr>
      <w:t>IATAVE</w:t>
    </w:r>
  </w:p>
  <w:p w14:paraId="60DE6B52" w14:textId="7506EC6F" w:rsidR="009F2138" w:rsidRPr="00C77C6C" w:rsidRDefault="009F2138" w:rsidP="001E1EDF">
    <w:pPr>
      <w:pStyle w:val="Header"/>
      <w:tabs>
        <w:tab w:val="left" w:pos="8433"/>
      </w:tabs>
      <w:jc w:val="center"/>
      <w:rPr>
        <w:rFonts w:ascii="Book Antiqua" w:hAnsi="Book Antiqua" w:cs="Times New Roman"/>
        <w:b/>
        <w:bCs/>
        <w:sz w:val="22"/>
        <w:szCs w:val="22"/>
      </w:rPr>
    </w:pPr>
    <w:r>
      <w:rPr>
        <w:rFonts w:ascii="Book Antiqua" w:hAnsi="Book Antiqua" w:cs="Times New Roman"/>
        <w:b/>
        <w:bCs/>
        <w:sz w:val="22"/>
        <w:szCs w:val="22"/>
      </w:rPr>
      <w:t xml:space="preserve">SEKTORI I </w:t>
    </w:r>
    <w:r w:rsidRPr="00D0737C">
      <w:rPr>
        <w:rFonts w:ascii="Book Antiqua" w:hAnsi="Book Antiqua" w:cs="Times New Roman"/>
        <w:b/>
        <w:bCs/>
        <w:sz w:val="22"/>
        <w:szCs w:val="22"/>
      </w:rPr>
      <w:t xml:space="preserve">POLITIKAVE DHE </w:t>
    </w:r>
    <w:r>
      <w:rPr>
        <w:rFonts w:ascii="Book Antiqua" w:hAnsi="Book Antiqua" w:cs="Times New Roman"/>
        <w:b/>
        <w:bCs/>
        <w:sz w:val="22"/>
        <w:szCs w:val="22"/>
      </w:rPr>
      <w:t>STRATEGJIVE</w:t>
    </w:r>
    <w:r w:rsidRPr="00D0737C">
      <w:rPr>
        <w:rFonts w:ascii="Book Antiqua" w:hAnsi="Book Antiqua" w:cs="Times New Roman"/>
        <w:b/>
        <w:bCs/>
        <w:sz w:val="22"/>
        <w:szCs w:val="22"/>
      </w:rPr>
      <w:t xml:space="preserve"> NË FUSHËN E DREJTËSISË</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9C4447"/>
    <w:multiLevelType w:val="hybridMultilevel"/>
    <w:tmpl w:val="2A626F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7EA37955"/>
    <w:multiLevelType w:val="hybridMultilevel"/>
    <w:tmpl w:val="E048C6D4"/>
    <w:lvl w:ilvl="0" w:tplc="1E66962E">
      <w:start w:val="1"/>
      <w:numFmt w:val="decimal"/>
      <w:lvlText w:val="%1."/>
      <w:lvlJc w:val="left"/>
      <w:pPr>
        <w:ind w:left="360" w:hanging="360"/>
      </w:pPr>
      <w:rPr>
        <w:rFonts w:hint="default"/>
        <w:b/>
        <w:bCs/>
      </w:rPr>
    </w:lvl>
    <w:lvl w:ilvl="1" w:tplc="440867D6">
      <w:start w:val="1"/>
      <w:numFmt w:val="lowerLetter"/>
      <w:lvlText w:val="%2."/>
      <w:lvlJc w:val="left"/>
      <w:pPr>
        <w:ind w:left="1080" w:hanging="360"/>
      </w:pPr>
      <w:rPr>
        <w:i/>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C8C"/>
    <w:rsid w:val="00003C8C"/>
    <w:rsid w:val="0007152B"/>
    <w:rsid w:val="00093A62"/>
    <w:rsid w:val="000B0AF6"/>
    <w:rsid w:val="001D4C44"/>
    <w:rsid w:val="001E1EDF"/>
    <w:rsid w:val="0039221C"/>
    <w:rsid w:val="00454922"/>
    <w:rsid w:val="00531201"/>
    <w:rsid w:val="005416B3"/>
    <w:rsid w:val="005E7A60"/>
    <w:rsid w:val="0062743D"/>
    <w:rsid w:val="00685DCA"/>
    <w:rsid w:val="006B1EDE"/>
    <w:rsid w:val="006E0280"/>
    <w:rsid w:val="00744419"/>
    <w:rsid w:val="0092203E"/>
    <w:rsid w:val="00935008"/>
    <w:rsid w:val="00983456"/>
    <w:rsid w:val="00992AA2"/>
    <w:rsid w:val="009A7C0B"/>
    <w:rsid w:val="009C7165"/>
    <w:rsid w:val="009F2138"/>
    <w:rsid w:val="00A23DA9"/>
    <w:rsid w:val="00A773F0"/>
    <w:rsid w:val="00B47ABB"/>
    <w:rsid w:val="00C12E29"/>
    <w:rsid w:val="00C77C6C"/>
    <w:rsid w:val="00D53485"/>
    <w:rsid w:val="00DA0816"/>
    <w:rsid w:val="00E1490E"/>
    <w:rsid w:val="00E27E26"/>
    <w:rsid w:val="00F21325"/>
    <w:rsid w:val="00F407AC"/>
    <w:rsid w:val="00F429EC"/>
    <w:rsid w:val="00FA38A6"/>
    <w:rsid w:val="00FE7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7F83F"/>
  <w15:chartTrackingRefBased/>
  <w15:docId w15:val="{2CC76315-3613-4D52-90DA-FC71FB55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3C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3C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3C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3C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3C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3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C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3C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3C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3C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3C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3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C8C"/>
    <w:rPr>
      <w:rFonts w:eastAsiaTheme="majorEastAsia" w:cstheme="majorBidi"/>
      <w:color w:val="272727" w:themeColor="text1" w:themeTint="D8"/>
    </w:rPr>
  </w:style>
  <w:style w:type="paragraph" w:styleId="Title">
    <w:name w:val="Title"/>
    <w:basedOn w:val="Normal"/>
    <w:next w:val="Normal"/>
    <w:link w:val="TitleChar"/>
    <w:uiPriority w:val="10"/>
    <w:qFormat/>
    <w:rsid w:val="00003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C8C"/>
    <w:pPr>
      <w:spacing w:before="160"/>
      <w:jc w:val="center"/>
    </w:pPr>
    <w:rPr>
      <w:i/>
      <w:iCs/>
      <w:color w:val="404040" w:themeColor="text1" w:themeTint="BF"/>
    </w:rPr>
  </w:style>
  <w:style w:type="character" w:customStyle="1" w:styleId="QuoteChar">
    <w:name w:val="Quote Char"/>
    <w:basedOn w:val="DefaultParagraphFont"/>
    <w:link w:val="Quote"/>
    <w:uiPriority w:val="29"/>
    <w:rsid w:val="00003C8C"/>
    <w:rPr>
      <w:i/>
      <w:iCs/>
      <w:color w:val="404040" w:themeColor="text1" w:themeTint="BF"/>
    </w:rPr>
  </w:style>
  <w:style w:type="paragraph" w:styleId="ListParagraph">
    <w:name w:val="List Paragraph"/>
    <w:basedOn w:val="Normal"/>
    <w:uiPriority w:val="34"/>
    <w:qFormat/>
    <w:rsid w:val="00003C8C"/>
    <w:pPr>
      <w:ind w:left="720"/>
      <w:contextualSpacing/>
    </w:pPr>
  </w:style>
  <w:style w:type="character" w:styleId="IntenseEmphasis">
    <w:name w:val="Intense Emphasis"/>
    <w:basedOn w:val="DefaultParagraphFont"/>
    <w:uiPriority w:val="21"/>
    <w:qFormat/>
    <w:rsid w:val="00003C8C"/>
    <w:rPr>
      <w:i/>
      <w:iCs/>
      <w:color w:val="2F5496" w:themeColor="accent1" w:themeShade="BF"/>
    </w:rPr>
  </w:style>
  <w:style w:type="paragraph" w:styleId="IntenseQuote">
    <w:name w:val="Intense Quote"/>
    <w:basedOn w:val="Normal"/>
    <w:next w:val="Normal"/>
    <w:link w:val="IntenseQuoteChar"/>
    <w:uiPriority w:val="30"/>
    <w:qFormat/>
    <w:rsid w:val="00003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3C8C"/>
    <w:rPr>
      <w:i/>
      <w:iCs/>
      <w:color w:val="2F5496" w:themeColor="accent1" w:themeShade="BF"/>
    </w:rPr>
  </w:style>
  <w:style w:type="character" w:styleId="IntenseReference">
    <w:name w:val="Intense Reference"/>
    <w:basedOn w:val="DefaultParagraphFont"/>
    <w:uiPriority w:val="32"/>
    <w:qFormat/>
    <w:rsid w:val="00003C8C"/>
    <w:rPr>
      <w:b/>
      <w:bCs/>
      <w:smallCaps/>
      <w:color w:val="2F5496" w:themeColor="accent1" w:themeShade="BF"/>
      <w:spacing w:val="5"/>
    </w:rPr>
  </w:style>
  <w:style w:type="paragraph" w:styleId="Header">
    <w:name w:val="header"/>
    <w:basedOn w:val="Normal"/>
    <w:link w:val="HeaderChar"/>
    <w:uiPriority w:val="99"/>
    <w:unhideWhenUsed/>
    <w:rsid w:val="00003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C8C"/>
  </w:style>
  <w:style w:type="paragraph" w:styleId="Footer">
    <w:name w:val="footer"/>
    <w:basedOn w:val="Normal"/>
    <w:link w:val="FooterChar"/>
    <w:uiPriority w:val="99"/>
    <w:unhideWhenUsed/>
    <w:rsid w:val="00003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C8C"/>
  </w:style>
  <w:style w:type="character" w:styleId="Hyperlink">
    <w:name w:val="Hyperlink"/>
    <w:basedOn w:val="DefaultParagraphFont"/>
    <w:uiPriority w:val="99"/>
    <w:unhideWhenUsed/>
    <w:rsid w:val="00C77C6C"/>
    <w:rPr>
      <w:color w:val="0563C1" w:themeColor="hyperlink"/>
      <w:u w:val="single"/>
    </w:rPr>
  </w:style>
  <w:style w:type="character" w:customStyle="1" w:styleId="UnresolvedMention">
    <w:name w:val="Unresolved Mention"/>
    <w:basedOn w:val="DefaultParagraphFont"/>
    <w:uiPriority w:val="99"/>
    <w:semiHidden/>
    <w:unhideWhenUsed/>
    <w:rsid w:val="00C77C6C"/>
    <w:rPr>
      <w:color w:val="605E5C"/>
      <w:shd w:val="clear" w:color="auto" w:fill="E1DFDD"/>
    </w:rPr>
  </w:style>
  <w:style w:type="paragraph" w:styleId="NormalWeb">
    <w:name w:val="Normal (Web)"/>
    <w:basedOn w:val="Normal"/>
    <w:uiPriority w:val="99"/>
    <w:semiHidden/>
    <w:unhideWhenUsed/>
    <w:rsid w:val="0053120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5312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201"/>
    <w:rPr>
      <w:sz w:val="20"/>
      <w:szCs w:val="20"/>
    </w:rPr>
  </w:style>
  <w:style w:type="character" w:styleId="FootnoteReference">
    <w:name w:val="footnote reference"/>
    <w:basedOn w:val="DefaultParagraphFont"/>
    <w:uiPriority w:val="99"/>
    <w:semiHidden/>
    <w:unhideWhenUsed/>
    <w:rsid w:val="005312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1460">
      <w:bodyDiv w:val="1"/>
      <w:marLeft w:val="0"/>
      <w:marRight w:val="0"/>
      <w:marTop w:val="0"/>
      <w:marBottom w:val="0"/>
      <w:divBdr>
        <w:top w:val="none" w:sz="0" w:space="0" w:color="auto"/>
        <w:left w:val="none" w:sz="0" w:space="0" w:color="auto"/>
        <w:bottom w:val="none" w:sz="0" w:space="0" w:color="auto"/>
        <w:right w:val="none" w:sz="0" w:space="0" w:color="auto"/>
      </w:divBdr>
    </w:div>
    <w:div w:id="707946931">
      <w:bodyDiv w:val="1"/>
      <w:marLeft w:val="0"/>
      <w:marRight w:val="0"/>
      <w:marTop w:val="0"/>
      <w:marBottom w:val="0"/>
      <w:divBdr>
        <w:top w:val="none" w:sz="0" w:space="0" w:color="auto"/>
        <w:left w:val="none" w:sz="0" w:space="0" w:color="auto"/>
        <w:bottom w:val="none" w:sz="0" w:space="0" w:color="auto"/>
        <w:right w:val="none" w:sz="0" w:space="0" w:color="auto"/>
      </w:divBdr>
      <w:divsChild>
        <w:div w:id="463810280">
          <w:marLeft w:val="0"/>
          <w:marRight w:val="0"/>
          <w:marTop w:val="0"/>
          <w:marBottom w:val="0"/>
          <w:divBdr>
            <w:top w:val="none" w:sz="0" w:space="0" w:color="auto"/>
            <w:left w:val="none" w:sz="0" w:space="0" w:color="auto"/>
            <w:bottom w:val="none" w:sz="0" w:space="0" w:color="auto"/>
            <w:right w:val="none" w:sz="0" w:space="0" w:color="auto"/>
          </w:divBdr>
        </w:div>
        <w:div w:id="211894455">
          <w:marLeft w:val="0"/>
          <w:marRight w:val="0"/>
          <w:marTop w:val="0"/>
          <w:marBottom w:val="0"/>
          <w:divBdr>
            <w:top w:val="none" w:sz="0" w:space="0" w:color="auto"/>
            <w:left w:val="none" w:sz="0" w:space="0" w:color="auto"/>
            <w:bottom w:val="none" w:sz="0" w:space="0" w:color="auto"/>
            <w:right w:val="none" w:sz="0" w:space="0" w:color="auto"/>
          </w:divBdr>
        </w:div>
        <w:div w:id="1459301862">
          <w:marLeft w:val="0"/>
          <w:marRight w:val="0"/>
          <w:marTop w:val="0"/>
          <w:marBottom w:val="0"/>
          <w:divBdr>
            <w:top w:val="none" w:sz="0" w:space="0" w:color="auto"/>
            <w:left w:val="none" w:sz="0" w:space="0" w:color="auto"/>
            <w:bottom w:val="none" w:sz="0" w:space="0" w:color="auto"/>
            <w:right w:val="none" w:sz="0" w:space="0" w:color="auto"/>
          </w:divBdr>
        </w:div>
        <w:div w:id="1594237142">
          <w:marLeft w:val="0"/>
          <w:marRight w:val="0"/>
          <w:marTop w:val="0"/>
          <w:marBottom w:val="0"/>
          <w:divBdr>
            <w:top w:val="none" w:sz="0" w:space="0" w:color="auto"/>
            <w:left w:val="none" w:sz="0" w:space="0" w:color="auto"/>
            <w:bottom w:val="none" w:sz="0" w:space="0" w:color="auto"/>
            <w:right w:val="none" w:sz="0" w:space="0" w:color="auto"/>
          </w:divBdr>
        </w:div>
        <w:div w:id="890503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info@drejtesia.gov.al" TargetMode="External"/><Relationship Id="rId1" Type="http://schemas.openxmlformats.org/officeDocument/2006/relationships/hyperlink" Target="https://www.drejtesia.gov.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69B14-CADA-4E17-BC96-1C29DACA7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Subian Dalani</dc:creator>
  <cp:keywords/>
  <dc:description/>
  <cp:lastModifiedBy>Nertila Kaja</cp:lastModifiedBy>
  <cp:revision>12</cp:revision>
  <dcterms:created xsi:type="dcterms:W3CDTF">2026-03-17T13:22:00Z</dcterms:created>
  <dcterms:modified xsi:type="dcterms:W3CDTF">2026-03-17T13:58:00Z</dcterms:modified>
</cp:coreProperties>
</file>